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06BD" w14:textId="5B0E988A" w:rsidR="00D2197C" w:rsidRPr="00B61088" w:rsidRDefault="00C03703" w:rsidP="00B61088">
      <w:pPr>
        <w:pStyle w:val="NHFTitle"/>
      </w:pPr>
      <w:r>
        <w:t>Step-by-step g</w:t>
      </w:r>
      <w:r w:rsidR="00EC09E8" w:rsidRPr="00B61088">
        <w:t>uid</w:t>
      </w:r>
      <w:r w:rsidR="00264FF6">
        <w:t>e</w:t>
      </w:r>
      <w:r w:rsidR="00EC09E8" w:rsidRPr="00B61088">
        <w:t xml:space="preserve"> </w:t>
      </w:r>
      <w:r w:rsidR="00264FF6">
        <w:t>to</w:t>
      </w:r>
      <w:r w:rsidR="00EC09E8" w:rsidRPr="00B61088">
        <w:t xml:space="preserve"> the</w:t>
      </w:r>
      <w:r w:rsidR="009D57A7">
        <w:t xml:space="preserve"> 2023 </w:t>
      </w:r>
      <w:r w:rsidR="00EC09E8" w:rsidRPr="00B61088">
        <w:t xml:space="preserve">EDI </w:t>
      </w:r>
      <w:r w:rsidR="009D57A7">
        <w:t>d</w:t>
      </w:r>
      <w:r w:rsidR="00EC09E8" w:rsidRPr="00B61088">
        <w:t xml:space="preserve">ata </w:t>
      </w:r>
      <w:r w:rsidR="009D57A7">
        <w:t>t</w:t>
      </w:r>
      <w:r w:rsidR="00EC09E8" w:rsidRPr="00B61088">
        <w:t>ool</w:t>
      </w:r>
      <w:r w:rsidR="009D57A7">
        <w:t xml:space="preserve"> </w:t>
      </w:r>
    </w:p>
    <w:p w14:paraId="672A6659" w14:textId="47568FDB" w:rsidR="003D664C" w:rsidRPr="002A6684" w:rsidRDefault="007A7498" w:rsidP="00C8733C">
      <w:pPr>
        <w:pStyle w:val="NHFHeading2"/>
        <w:rPr>
          <w:b w:val="0"/>
          <w:bCs/>
          <w:sz w:val="32"/>
          <w:szCs w:val="32"/>
        </w:rPr>
      </w:pPr>
      <w:bookmarkStart w:id="0" w:name="_Toc129083237"/>
      <w:bookmarkStart w:id="1" w:name="_Toc129083289"/>
      <w:r>
        <w:rPr>
          <w:rStyle w:val="NHFsubtitle"/>
          <w:b/>
          <w:sz w:val="32"/>
          <w:szCs w:val="32"/>
        </w:rPr>
        <w:t>September</w:t>
      </w:r>
      <w:r w:rsidR="00EC09E8" w:rsidRPr="002A6684">
        <w:rPr>
          <w:rStyle w:val="NHFsubtitle"/>
          <w:b/>
          <w:sz w:val="32"/>
          <w:szCs w:val="32"/>
        </w:rPr>
        <w:t xml:space="preserve"> 202</w:t>
      </w:r>
      <w:r w:rsidR="530FB72B" w:rsidRPr="002A6684">
        <w:rPr>
          <w:rStyle w:val="NHFsubtitle"/>
          <w:b/>
          <w:sz w:val="32"/>
          <w:szCs w:val="32"/>
        </w:rPr>
        <w:t>3</w:t>
      </w:r>
      <w:bookmarkEnd w:id="0"/>
      <w:bookmarkEnd w:id="1"/>
    </w:p>
    <w:p w14:paraId="1BA4EA48" w14:textId="77777777" w:rsidR="00BB6F79" w:rsidRPr="00D615A9" w:rsidRDefault="00BB6F79" w:rsidP="00A143F3">
      <w:pPr>
        <w:rPr>
          <w:color w:val="auto"/>
        </w:rPr>
      </w:pPr>
    </w:p>
    <w:p w14:paraId="31FAF988" w14:textId="7F8ED998" w:rsidR="008E439D" w:rsidRPr="00D615A9" w:rsidRDefault="002A6684" w:rsidP="008E439D">
      <w:pPr>
        <w:rPr>
          <w:color w:val="auto"/>
        </w:rPr>
      </w:pPr>
      <w:r w:rsidRPr="00D615A9">
        <w:rPr>
          <w:color w:val="auto"/>
        </w:rPr>
        <w:t>The 2023 EDI data t</w:t>
      </w:r>
      <w:r w:rsidR="008E439D" w:rsidRPr="00D615A9">
        <w:rPr>
          <w:color w:val="auto"/>
        </w:rPr>
        <w:t>ool retains a similar structure and look to the previous version. However, we have made some improvements to the functionality. These include automatic calculation of staff figures in the Executive and Board tabs and a space on each tab to allow people to add notes.</w:t>
      </w:r>
    </w:p>
    <w:p w14:paraId="0322708D" w14:textId="77777777" w:rsidR="008E439D" w:rsidRPr="00D615A9" w:rsidRDefault="008E439D" w:rsidP="008E439D">
      <w:pPr>
        <w:rPr>
          <w:color w:val="auto"/>
        </w:rPr>
      </w:pPr>
    </w:p>
    <w:p w14:paraId="32B37F3C" w14:textId="0FA9AD1A" w:rsidR="008E439D" w:rsidRPr="00D615A9" w:rsidRDefault="008E439D" w:rsidP="008E439D">
      <w:pPr>
        <w:rPr>
          <w:color w:val="auto"/>
        </w:rPr>
      </w:pPr>
      <w:r w:rsidRPr="00D615A9">
        <w:rPr>
          <w:color w:val="auto"/>
        </w:rPr>
        <w:t>For the majority of questions within the updated tool, we have used Census 2021 data to tell us the characteristics of the population by stock location. The census provides a picture of all people and households in England and Wales and using this data ensures the tool is as accurate and up-to-date as possible. We have adapted the wording of some questions to be in line with the latest census results and to ensure we’re asking them in a way which generates the best answers from respondents.</w:t>
      </w:r>
    </w:p>
    <w:p w14:paraId="674030CE" w14:textId="77777777" w:rsidR="0067323C" w:rsidRPr="00D615A9" w:rsidRDefault="0067323C" w:rsidP="008E439D">
      <w:pPr>
        <w:rPr>
          <w:color w:val="auto"/>
        </w:rPr>
      </w:pPr>
    </w:p>
    <w:p w14:paraId="779B250A" w14:textId="54FCBC68" w:rsidR="008E439D" w:rsidRDefault="008E439D" w:rsidP="06B62C99">
      <w:pPr>
        <w:rPr>
          <w:color w:val="auto"/>
        </w:rPr>
      </w:pPr>
      <w:r w:rsidRPr="00D615A9">
        <w:rPr>
          <w:color w:val="auto"/>
        </w:rPr>
        <w:t xml:space="preserve">There </w:t>
      </w:r>
      <w:r w:rsidR="002C4E20" w:rsidRPr="00D615A9">
        <w:rPr>
          <w:color w:val="auto"/>
        </w:rPr>
        <w:t xml:space="preserve">are five </w:t>
      </w:r>
      <w:r w:rsidR="00814CB8" w:rsidRPr="00D615A9">
        <w:rPr>
          <w:color w:val="auto"/>
        </w:rPr>
        <w:t>tabs</w:t>
      </w:r>
      <w:r w:rsidR="002C4E20" w:rsidRPr="00D615A9">
        <w:rPr>
          <w:color w:val="auto"/>
        </w:rPr>
        <w:t xml:space="preserve"> to </w:t>
      </w:r>
      <w:r w:rsidR="00125AA8">
        <w:rPr>
          <w:color w:val="auto"/>
        </w:rPr>
        <w:t>complete</w:t>
      </w:r>
      <w:r w:rsidR="00814CB8" w:rsidRPr="00D615A9">
        <w:rPr>
          <w:color w:val="auto"/>
        </w:rPr>
        <w:t>.</w:t>
      </w:r>
      <w:r w:rsidRPr="00D615A9">
        <w:rPr>
          <w:color w:val="auto"/>
        </w:rPr>
        <w:t xml:space="preserve"> This document provides step-by-step guidance to completing each of those tabs</w:t>
      </w:r>
      <w:r w:rsidR="00727F5E">
        <w:rPr>
          <w:color w:val="auto"/>
        </w:rPr>
        <w:t xml:space="preserve"> and</w:t>
      </w:r>
      <w:r w:rsidR="003365A1">
        <w:rPr>
          <w:color w:val="auto"/>
        </w:rPr>
        <w:t xml:space="preserve"> explanations </w:t>
      </w:r>
      <w:r w:rsidR="00727F5E">
        <w:rPr>
          <w:color w:val="auto"/>
        </w:rPr>
        <w:t>to support interpretation of the tool.</w:t>
      </w:r>
    </w:p>
    <w:p w14:paraId="7B1577E8" w14:textId="77777777" w:rsidR="007F1C55" w:rsidRDefault="007F1C55" w:rsidP="06B62C99">
      <w:pPr>
        <w:rPr>
          <w:color w:val="auto"/>
        </w:rPr>
      </w:pPr>
    </w:p>
    <w:p w14:paraId="37E885E0" w14:textId="2BC37DB3" w:rsidR="00FF4A7D" w:rsidRDefault="007F1C55" w:rsidP="00FF4A7D">
      <w:r>
        <w:rPr>
          <w:color w:val="auto"/>
        </w:rPr>
        <w:t xml:space="preserve">Our 2023 data collection has now closed but we encourage housing </w:t>
      </w:r>
      <w:proofErr w:type="spellStart"/>
      <w:r>
        <w:rPr>
          <w:color w:val="auto"/>
        </w:rPr>
        <w:t>assosciations</w:t>
      </w:r>
      <w:proofErr w:type="spellEnd"/>
      <w:r>
        <w:rPr>
          <w:color w:val="auto"/>
        </w:rPr>
        <w:t xml:space="preserve"> to </w:t>
      </w:r>
      <w:r w:rsidR="001457DE">
        <w:rPr>
          <w:color w:val="auto"/>
        </w:rPr>
        <w:t xml:space="preserve">regularly </w:t>
      </w:r>
      <w:r w:rsidR="00E921F9">
        <w:rPr>
          <w:color w:val="auto"/>
        </w:rPr>
        <w:t xml:space="preserve">review and </w:t>
      </w:r>
      <w:r w:rsidR="001457DE">
        <w:rPr>
          <w:color w:val="auto"/>
        </w:rPr>
        <w:t>update their data</w:t>
      </w:r>
      <w:r>
        <w:rPr>
          <w:color w:val="auto"/>
        </w:rPr>
        <w:t xml:space="preserve"> tool to </w:t>
      </w:r>
      <w:r w:rsidR="001457DE">
        <w:rPr>
          <w:color w:val="auto"/>
        </w:rPr>
        <w:t>measure progress</w:t>
      </w:r>
      <w:r w:rsidR="00E921F9">
        <w:rPr>
          <w:color w:val="auto"/>
        </w:rPr>
        <w:t xml:space="preserve"> over time</w:t>
      </w:r>
      <w:r w:rsidR="00986FE9">
        <w:rPr>
          <w:color w:val="auto"/>
        </w:rPr>
        <w:t>.</w:t>
      </w:r>
      <w:r w:rsidR="00C62F02">
        <w:t xml:space="preserve"> </w:t>
      </w:r>
    </w:p>
    <w:p w14:paraId="4C2C811B" w14:textId="6054DA8C" w:rsidR="0067323C" w:rsidRDefault="0067323C" w:rsidP="0067323C"/>
    <w:p w14:paraId="5E8E8848" w14:textId="71764901" w:rsidR="0067323C" w:rsidRDefault="0067323C" w:rsidP="0067323C">
      <w:r w:rsidRPr="00D615A9">
        <w:rPr>
          <w:color w:val="auto"/>
        </w:rPr>
        <w:t>For further information about the tool and how to use it please refer to the FAQs</w:t>
      </w:r>
      <w:r w:rsidR="00F02F1D" w:rsidRPr="00D615A9">
        <w:rPr>
          <w:color w:val="auto"/>
        </w:rPr>
        <w:t xml:space="preserve"> on the website</w:t>
      </w:r>
      <w:r w:rsidR="00D76D0E">
        <w:t xml:space="preserve">: </w:t>
      </w:r>
      <w:hyperlink r:id="rId11" w:history="1">
        <w:r w:rsidR="00D76D0E">
          <w:rPr>
            <w:rStyle w:val="Hyperlink"/>
          </w:rPr>
          <w:t>National Housing Federation - EDI data tool</w:t>
        </w:r>
      </w:hyperlink>
      <w:r>
        <w:t>.</w:t>
      </w:r>
    </w:p>
    <w:p w14:paraId="41836B1E" w14:textId="77777777" w:rsidR="0034780B" w:rsidRPr="00493A2C" w:rsidRDefault="0034780B" w:rsidP="06B62C99"/>
    <w:p w14:paraId="53043FEE" w14:textId="77777777" w:rsidR="00CF41E9" w:rsidRPr="00BF6BBF" w:rsidRDefault="00493A2C" w:rsidP="00D95BBD">
      <w:pPr>
        <w:pStyle w:val="NHFHeading2"/>
      </w:pPr>
      <w:r w:rsidRPr="00BF6BBF">
        <w:t>Stock</w:t>
      </w:r>
    </w:p>
    <w:p w14:paraId="6A0939CA" w14:textId="13B6E4C9" w:rsidR="00F837F5" w:rsidRPr="00F837F5" w:rsidRDefault="00F837F5" w:rsidP="00F837F5">
      <w:pPr>
        <w:rPr>
          <w:color w:val="auto"/>
        </w:rPr>
      </w:pPr>
      <w:r w:rsidRPr="00F837F5">
        <w:rPr>
          <w:color w:val="auto"/>
        </w:rPr>
        <w:t>Stock data is used to calculate the characteristics of the communities your organisation serves on the next tab ‘Workforce by characteristic’ in the columns labelled ‘Population by stock location’, as well as in the ‘data’ tabs at the end of the workbook.</w:t>
      </w:r>
    </w:p>
    <w:p w14:paraId="2D3AF0B5" w14:textId="77777777" w:rsidR="00CF41E9" w:rsidRDefault="00CF41E9" w:rsidP="001D4FFA"/>
    <w:p w14:paraId="1BEBF4A0" w14:textId="69FFF3D9" w:rsidR="00B803EE" w:rsidRPr="00727F5E" w:rsidRDefault="00B803EE" w:rsidP="001D4FFA">
      <w:pPr>
        <w:rPr>
          <w:b/>
          <w:bCs/>
        </w:rPr>
      </w:pPr>
      <w:r w:rsidRPr="00727F5E">
        <w:rPr>
          <w:b/>
          <w:bCs/>
        </w:rPr>
        <w:t xml:space="preserve">To </w:t>
      </w:r>
      <w:r w:rsidR="008C2E83" w:rsidRPr="00727F5E">
        <w:rPr>
          <w:b/>
          <w:bCs/>
        </w:rPr>
        <w:t>complete the stock tab</w:t>
      </w:r>
      <w:r w:rsidRPr="00727F5E">
        <w:rPr>
          <w:b/>
          <w:bCs/>
        </w:rPr>
        <w:t>:</w:t>
      </w:r>
    </w:p>
    <w:p w14:paraId="130660DA" w14:textId="4D0BB53E" w:rsidR="00454166" w:rsidRPr="008224F1" w:rsidRDefault="00AB3AC6" w:rsidP="008224F1">
      <w:pPr>
        <w:pStyle w:val="ListParagraph"/>
        <w:numPr>
          <w:ilvl w:val="0"/>
          <w:numId w:val="32"/>
        </w:numPr>
        <w:rPr>
          <w:color w:val="auto"/>
        </w:rPr>
      </w:pPr>
      <w:r w:rsidRPr="008224F1">
        <w:rPr>
          <w:color w:val="auto"/>
        </w:rPr>
        <w:t>Select your organisation from the drop</w:t>
      </w:r>
      <w:r w:rsidR="00BF3863" w:rsidRPr="008224F1">
        <w:rPr>
          <w:color w:val="auto"/>
        </w:rPr>
        <w:t>-</w:t>
      </w:r>
      <w:r w:rsidRPr="008224F1">
        <w:rPr>
          <w:color w:val="auto"/>
        </w:rPr>
        <w:t>down list</w:t>
      </w:r>
      <w:r w:rsidR="00220F02" w:rsidRPr="008224F1">
        <w:rPr>
          <w:color w:val="auto"/>
        </w:rPr>
        <w:t xml:space="preserve"> at the top of the Stock tab</w:t>
      </w:r>
      <w:r w:rsidR="007E3808" w:rsidRPr="008224F1">
        <w:rPr>
          <w:color w:val="auto"/>
        </w:rPr>
        <w:t xml:space="preserve">, this will populate columns B and C with </w:t>
      </w:r>
      <w:r w:rsidR="00B31CAE" w:rsidRPr="008224F1">
        <w:rPr>
          <w:color w:val="auto"/>
        </w:rPr>
        <w:t xml:space="preserve">stock data from the Social Housing Regulator’s Statistical Data Return. </w:t>
      </w:r>
    </w:p>
    <w:p w14:paraId="7B0FA2CF" w14:textId="0E558D43" w:rsidR="00454166" w:rsidRPr="008224F1" w:rsidRDefault="00B31CAE" w:rsidP="008224F1">
      <w:pPr>
        <w:pStyle w:val="ListParagraph"/>
        <w:numPr>
          <w:ilvl w:val="0"/>
          <w:numId w:val="32"/>
        </w:numPr>
        <w:rPr>
          <w:color w:val="auto"/>
        </w:rPr>
      </w:pPr>
      <w:r w:rsidRPr="008224F1">
        <w:rPr>
          <w:color w:val="auto"/>
        </w:rPr>
        <w:lastRenderedPageBreak/>
        <w:t xml:space="preserve">If this data is wrong, please </w:t>
      </w:r>
      <w:r w:rsidR="00326C33" w:rsidRPr="008224F1">
        <w:rPr>
          <w:color w:val="auto"/>
        </w:rPr>
        <w:t>select ‘No’ in cell C</w:t>
      </w:r>
      <w:r w:rsidR="00814CB8" w:rsidRPr="008224F1">
        <w:rPr>
          <w:color w:val="auto"/>
        </w:rPr>
        <w:t>4</w:t>
      </w:r>
      <w:r w:rsidR="00326C33" w:rsidRPr="008224F1">
        <w:rPr>
          <w:color w:val="auto"/>
        </w:rPr>
        <w:t xml:space="preserve"> and input the accurate </w:t>
      </w:r>
      <w:r w:rsidR="001B026C" w:rsidRPr="008224F1">
        <w:rPr>
          <w:color w:val="auto"/>
          <w:u w:val="single"/>
        </w:rPr>
        <w:t>number</w:t>
      </w:r>
      <w:r w:rsidR="00C07818" w:rsidRPr="008224F1">
        <w:rPr>
          <w:color w:val="auto"/>
          <w:u w:val="single"/>
        </w:rPr>
        <w:t xml:space="preserve"> of </w:t>
      </w:r>
      <w:r w:rsidR="00264FF6" w:rsidRPr="008224F1">
        <w:rPr>
          <w:color w:val="auto"/>
          <w:u w:val="single"/>
        </w:rPr>
        <w:t>homes</w:t>
      </w:r>
      <w:r w:rsidR="00C07818" w:rsidRPr="008224F1">
        <w:rPr>
          <w:color w:val="auto"/>
          <w:u w:val="single"/>
        </w:rPr>
        <w:t xml:space="preserve"> within each local authority</w:t>
      </w:r>
      <w:r w:rsidR="00326C33" w:rsidRPr="008224F1">
        <w:rPr>
          <w:color w:val="auto"/>
        </w:rPr>
        <w:t xml:space="preserve"> in column</w:t>
      </w:r>
      <w:r w:rsidR="00770958" w:rsidRPr="008224F1">
        <w:rPr>
          <w:color w:val="auto"/>
        </w:rPr>
        <w:t xml:space="preserve"> </w:t>
      </w:r>
      <w:r w:rsidR="00442996" w:rsidRPr="008224F1">
        <w:rPr>
          <w:color w:val="auto"/>
        </w:rPr>
        <w:t>G</w:t>
      </w:r>
      <w:r w:rsidR="00770958" w:rsidRPr="008224F1">
        <w:rPr>
          <w:color w:val="auto"/>
        </w:rPr>
        <w:t>.</w:t>
      </w:r>
      <w:r w:rsidR="007C6D5E" w:rsidRPr="00D615A9">
        <w:rPr>
          <w:rStyle w:val="FootnoteReference"/>
          <w:color w:val="auto"/>
        </w:rPr>
        <w:footnoteReference w:id="1"/>
      </w:r>
      <w:r w:rsidR="00770958" w:rsidRPr="008224F1">
        <w:rPr>
          <w:color w:val="auto"/>
        </w:rPr>
        <w:t xml:space="preserve"> The percentages in column </w:t>
      </w:r>
      <w:r w:rsidR="00442996" w:rsidRPr="008224F1">
        <w:rPr>
          <w:color w:val="auto"/>
        </w:rPr>
        <w:t>H</w:t>
      </w:r>
      <w:r w:rsidR="00770958" w:rsidRPr="008224F1">
        <w:rPr>
          <w:color w:val="auto"/>
        </w:rPr>
        <w:t xml:space="preserve"> should calculate automatically</w:t>
      </w:r>
      <w:r w:rsidR="0054744C" w:rsidRPr="008224F1">
        <w:rPr>
          <w:color w:val="auto"/>
        </w:rPr>
        <w:t xml:space="preserve">. </w:t>
      </w:r>
    </w:p>
    <w:p w14:paraId="54FF67E6" w14:textId="77777777" w:rsidR="00CF41E9" w:rsidRPr="00D615A9" w:rsidRDefault="00CF41E9" w:rsidP="001D4FFA">
      <w:pPr>
        <w:rPr>
          <w:color w:val="auto"/>
        </w:rPr>
      </w:pPr>
    </w:p>
    <w:p w14:paraId="0D3B5FAF" w14:textId="58B46C57" w:rsidR="00CF41E9" w:rsidRPr="00D615A9" w:rsidRDefault="00CF41E9" w:rsidP="00D95BBD">
      <w:pPr>
        <w:pStyle w:val="NHFHeading2"/>
      </w:pPr>
      <w:r w:rsidRPr="00D615A9">
        <w:t>Workforce by characteristic</w:t>
      </w:r>
    </w:p>
    <w:p w14:paraId="1CAD201F" w14:textId="6D344787" w:rsidR="00BF6BBF" w:rsidRDefault="0009687F" w:rsidP="001D4FFA">
      <w:pPr>
        <w:rPr>
          <w:color w:val="auto"/>
        </w:rPr>
      </w:pPr>
      <w:r>
        <w:rPr>
          <w:color w:val="auto"/>
        </w:rPr>
        <w:t>Compare the characteristics of your workforce (all staff, including executives) with the characteristics of the population where your stock is located.</w:t>
      </w:r>
    </w:p>
    <w:p w14:paraId="5B5659C8" w14:textId="77777777" w:rsidR="00923C45" w:rsidRDefault="00923C45" w:rsidP="001D4FFA">
      <w:pPr>
        <w:rPr>
          <w:color w:val="auto"/>
        </w:rPr>
      </w:pPr>
    </w:p>
    <w:p w14:paraId="301320BC" w14:textId="15A0286B" w:rsidR="0009687F" w:rsidRPr="00727F5E" w:rsidRDefault="0009687F" w:rsidP="001D4FFA">
      <w:pPr>
        <w:rPr>
          <w:b/>
          <w:bCs/>
          <w:color w:val="auto"/>
        </w:rPr>
      </w:pPr>
      <w:r w:rsidRPr="00727F5E">
        <w:rPr>
          <w:b/>
          <w:bCs/>
          <w:color w:val="auto"/>
        </w:rPr>
        <w:t xml:space="preserve">To </w:t>
      </w:r>
      <w:r w:rsidR="00C60B41" w:rsidRPr="00727F5E">
        <w:rPr>
          <w:b/>
          <w:bCs/>
          <w:color w:val="auto"/>
        </w:rPr>
        <w:t xml:space="preserve">complete the </w:t>
      </w:r>
      <w:r w:rsidR="008C2E83" w:rsidRPr="00727F5E">
        <w:rPr>
          <w:b/>
          <w:bCs/>
          <w:color w:val="auto"/>
        </w:rPr>
        <w:t xml:space="preserve">workforce </w:t>
      </w:r>
      <w:r w:rsidR="00C60B41" w:rsidRPr="00727F5E">
        <w:rPr>
          <w:b/>
          <w:bCs/>
          <w:color w:val="auto"/>
        </w:rPr>
        <w:t>tab</w:t>
      </w:r>
      <w:r w:rsidRPr="00727F5E">
        <w:rPr>
          <w:b/>
          <w:bCs/>
          <w:color w:val="auto"/>
        </w:rPr>
        <w:t>:</w:t>
      </w:r>
    </w:p>
    <w:p w14:paraId="3F650411" w14:textId="316D7293" w:rsidR="00BF6BBF" w:rsidRPr="00D615A9" w:rsidRDefault="00E51FB0" w:rsidP="001D4FFA">
      <w:pPr>
        <w:pStyle w:val="ListParagraph"/>
        <w:numPr>
          <w:ilvl w:val="0"/>
          <w:numId w:val="18"/>
        </w:numPr>
        <w:ind w:left="720"/>
        <w:rPr>
          <w:color w:val="auto"/>
        </w:rPr>
      </w:pPr>
      <w:r w:rsidRPr="00D615A9">
        <w:rPr>
          <w:color w:val="auto"/>
        </w:rPr>
        <w:t xml:space="preserve">Populate the highlighted cells with the </w:t>
      </w:r>
      <w:r w:rsidRPr="00D615A9">
        <w:rPr>
          <w:color w:val="auto"/>
          <w:u w:val="single"/>
        </w:rPr>
        <w:t>number of your workforce</w:t>
      </w:r>
      <w:r w:rsidRPr="00D615A9">
        <w:rPr>
          <w:color w:val="auto"/>
        </w:rPr>
        <w:t xml:space="preserve"> who have each characteristic.</w:t>
      </w:r>
    </w:p>
    <w:p w14:paraId="27B2E4C3" w14:textId="6ED32AF9" w:rsidR="008D7C20" w:rsidRPr="00D615A9" w:rsidRDefault="005D2082" w:rsidP="001D4FFA">
      <w:pPr>
        <w:pStyle w:val="ListParagraph"/>
        <w:numPr>
          <w:ilvl w:val="0"/>
          <w:numId w:val="18"/>
        </w:numPr>
        <w:ind w:left="720"/>
        <w:rPr>
          <w:color w:val="auto"/>
        </w:rPr>
      </w:pPr>
      <w:r w:rsidRPr="00D615A9">
        <w:rPr>
          <w:color w:val="auto"/>
        </w:rPr>
        <w:t>Once you have populated those figures, t</w:t>
      </w:r>
      <w:r w:rsidR="008D7C20" w:rsidRPr="00D615A9">
        <w:rPr>
          <w:color w:val="auto"/>
        </w:rPr>
        <w:t xml:space="preserve">he workforce percentages </w:t>
      </w:r>
      <w:r w:rsidRPr="00D615A9">
        <w:rPr>
          <w:color w:val="auto"/>
        </w:rPr>
        <w:t xml:space="preserve">and workforce to population comparison </w:t>
      </w:r>
      <w:r w:rsidR="008D7C20" w:rsidRPr="00D615A9">
        <w:rPr>
          <w:color w:val="auto"/>
        </w:rPr>
        <w:t>should calculate automatically.</w:t>
      </w:r>
    </w:p>
    <w:p w14:paraId="609982ED" w14:textId="77777777" w:rsidR="00F603F5" w:rsidRPr="00D615A9" w:rsidRDefault="00E272D3" w:rsidP="001D4FFA">
      <w:pPr>
        <w:pStyle w:val="ListParagraph"/>
        <w:numPr>
          <w:ilvl w:val="0"/>
          <w:numId w:val="18"/>
        </w:numPr>
        <w:ind w:left="720"/>
        <w:rPr>
          <w:color w:val="auto"/>
        </w:rPr>
      </w:pPr>
      <w:r w:rsidRPr="00D615A9">
        <w:rPr>
          <w:color w:val="auto"/>
        </w:rPr>
        <w:t>Your totals</w:t>
      </w:r>
      <w:r w:rsidR="00DD0536" w:rsidRPr="00D615A9">
        <w:rPr>
          <w:color w:val="auto"/>
        </w:rPr>
        <w:t xml:space="preserve"> </w:t>
      </w:r>
      <w:r w:rsidR="0026297A" w:rsidRPr="00D615A9">
        <w:rPr>
          <w:color w:val="auto"/>
        </w:rPr>
        <w:t>for</w:t>
      </w:r>
      <w:r w:rsidRPr="00D615A9">
        <w:rPr>
          <w:color w:val="auto"/>
        </w:rPr>
        <w:t xml:space="preserve"> each </w:t>
      </w:r>
      <w:r w:rsidR="00DD0536" w:rsidRPr="00D615A9">
        <w:rPr>
          <w:color w:val="auto"/>
        </w:rPr>
        <w:t xml:space="preserve">question </w:t>
      </w:r>
      <w:r w:rsidR="008D7C20" w:rsidRPr="00D615A9">
        <w:rPr>
          <w:color w:val="auto"/>
        </w:rPr>
        <w:t>should</w:t>
      </w:r>
      <w:r w:rsidR="0026297A" w:rsidRPr="00D615A9">
        <w:rPr>
          <w:color w:val="auto"/>
        </w:rPr>
        <w:t xml:space="preserve"> </w:t>
      </w:r>
      <w:r w:rsidR="005D2082" w:rsidRPr="00D615A9">
        <w:rPr>
          <w:color w:val="auto"/>
        </w:rPr>
        <w:t xml:space="preserve">also </w:t>
      </w:r>
      <w:r w:rsidR="0026297A" w:rsidRPr="00D615A9">
        <w:rPr>
          <w:color w:val="auto"/>
        </w:rPr>
        <w:t>calculate automatically</w:t>
      </w:r>
      <w:r w:rsidR="005D2082" w:rsidRPr="00D615A9">
        <w:rPr>
          <w:color w:val="auto"/>
        </w:rPr>
        <w:t>. T</w:t>
      </w:r>
      <w:r w:rsidR="0026297A" w:rsidRPr="00D615A9">
        <w:rPr>
          <w:color w:val="auto"/>
        </w:rPr>
        <w:t xml:space="preserve">hese </w:t>
      </w:r>
      <w:r w:rsidR="00DD0536" w:rsidRPr="00D615A9">
        <w:rPr>
          <w:color w:val="auto"/>
        </w:rPr>
        <w:t xml:space="preserve">should </w:t>
      </w:r>
      <w:r w:rsidR="0016799F" w:rsidRPr="00D615A9">
        <w:rPr>
          <w:color w:val="auto"/>
        </w:rPr>
        <w:t xml:space="preserve">all </w:t>
      </w:r>
      <w:r w:rsidR="00DD0536" w:rsidRPr="00D615A9">
        <w:rPr>
          <w:color w:val="auto"/>
        </w:rPr>
        <w:t>match</w:t>
      </w:r>
      <w:r w:rsidR="0026297A" w:rsidRPr="00D615A9">
        <w:rPr>
          <w:color w:val="auto"/>
        </w:rPr>
        <w:t xml:space="preserve"> as this should</w:t>
      </w:r>
      <w:r w:rsidR="0016799F" w:rsidRPr="00D615A9">
        <w:rPr>
          <w:color w:val="auto"/>
        </w:rPr>
        <w:t xml:space="preserve"> be the total number of people within your workforce. </w:t>
      </w:r>
      <w:r w:rsidR="001413BF" w:rsidRPr="00D615A9">
        <w:rPr>
          <w:color w:val="auto"/>
        </w:rPr>
        <w:t xml:space="preserve">If they do not match, the total will read ‘Error’. </w:t>
      </w:r>
    </w:p>
    <w:p w14:paraId="03C6179D" w14:textId="27B121A6" w:rsidR="0010626D" w:rsidRDefault="00026143" w:rsidP="001D4FFA">
      <w:pPr>
        <w:pStyle w:val="ListParagraph"/>
        <w:numPr>
          <w:ilvl w:val="0"/>
          <w:numId w:val="18"/>
        </w:numPr>
        <w:ind w:left="720"/>
        <w:rPr>
          <w:color w:val="auto"/>
        </w:rPr>
      </w:pPr>
      <w:r w:rsidRPr="00D615A9">
        <w:rPr>
          <w:color w:val="auto"/>
        </w:rPr>
        <w:t xml:space="preserve">If you do not have the </w:t>
      </w:r>
      <w:r w:rsidR="002A53B3" w:rsidRPr="00D615A9">
        <w:rPr>
          <w:color w:val="auto"/>
        </w:rPr>
        <w:t>data for all employees, please record those employees as ‘don’t know’.</w:t>
      </w:r>
      <w:r w:rsidR="00A55228" w:rsidRPr="00D615A9">
        <w:rPr>
          <w:color w:val="auto"/>
        </w:rPr>
        <w:t xml:space="preserve"> </w:t>
      </w:r>
      <w:r w:rsidR="0016799F" w:rsidRPr="00D615A9">
        <w:rPr>
          <w:color w:val="auto"/>
        </w:rPr>
        <w:t>If you</w:t>
      </w:r>
      <w:r w:rsidR="00A55228" w:rsidRPr="00D615A9">
        <w:rPr>
          <w:color w:val="auto"/>
        </w:rPr>
        <w:t xml:space="preserve"> do not</w:t>
      </w:r>
      <w:r w:rsidR="0016799F" w:rsidRPr="00D615A9">
        <w:rPr>
          <w:color w:val="auto"/>
        </w:rPr>
        <w:t xml:space="preserve"> have </w:t>
      </w:r>
      <w:r w:rsidR="00A55228" w:rsidRPr="00D615A9">
        <w:rPr>
          <w:color w:val="auto"/>
        </w:rPr>
        <w:t>data on a particular characteristic for any of your workforce</w:t>
      </w:r>
      <w:r w:rsidR="0016799F" w:rsidRPr="00D615A9">
        <w:rPr>
          <w:color w:val="auto"/>
        </w:rPr>
        <w:t xml:space="preserve">, please </w:t>
      </w:r>
      <w:r w:rsidR="00053A07" w:rsidRPr="00D615A9">
        <w:rPr>
          <w:color w:val="auto"/>
        </w:rPr>
        <w:t>use the ‘don’t know’ responses to tell us this</w:t>
      </w:r>
      <w:r w:rsidR="00BD3F62" w:rsidRPr="00D615A9">
        <w:rPr>
          <w:color w:val="auto"/>
        </w:rPr>
        <w:t xml:space="preserve"> -</w:t>
      </w:r>
      <w:r w:rsidR="0026297A" w:rsidRPr="00D615A9">
        <w:rPr>
          <w:color w:val="auto"/>
        </w:rPr>
        <w:t xml:space="preserve"> </w:t>
      </w:r>
      <w:r w:rsidR="00BD3F62" w:rsidRPr="00D615A9">
        <w:rPr>
          <w:color w:val="auto"/>
        </w:rPr>
        <w:t>i</w:t>
      </w:r>
      <w:r w:rsidR="0026297A" w:rsidRPr="00D615A9">
        <w:rPr>
          <w:color w:val="auto"/>
        </w:rPr>
        <w:t>.e</w:t>
      </w:r>
      <w:r w:rsidR="00A55228" w:rsidRPr="00D615A9">
        <w:rPr>
          <w:color w:val="auto"/>
        </w:rPr>
        <w:t>.</w:t>
      </w:r>
      <w:r w:rsidR="0026297A" w:rsidRPr="00D615A9">
        <w:rPr>
          <w:color w:val="auto"/>
        </w:rPr>
        <w:t xml:space="preserve"> </w:t>
      </w:r>
      <w:r w:rsidR="00C1717A" w:rsidRPr="00D615A9">
        <w:rPr>
          <w:color w:val="auto"/>
        </w:rPr>
        <w:t>input</w:t>
      </w:r>
      <w:r w:rsidR="0026297A" w:rsidRPr="00D615A9">
        <w:rPr>
          <w:color w:val="auto"/>
        </w:rPr>
        <w:t xml:space="preserve"> </w:t>
      </w:r>
      <w:r w:rsidR="00C1717A" w:rsidRPr="00D615A9">
        <w:rPr>
          <w:color w:val="auto"/>
        </w:rPr>
        <w:t>your</w:t>
      </w:r>
      <w:r w:rsidR="0026297A" w:rsidRPr="00D615A9">
        <w:rPr>
          <w:color w:val="auto"/>
        </w:rPr>
        <w:t xml:space="preserve"> total </w:t>
      </w:r>
      <w:r w:rsidR="00C1717A" w:rsidRPr="00D615A9">
        <w:rPr>
          <w:color w:val="auto"/>
        </w:rPr>
        <w:t xml:space="preserve">workforce </w:t>
      </w:r>
      <w:r w:rsidR="0026297A" w:rsidRPr="00D615A9">
        <w:rPr>
          <w:color w:val="auto"/>
        </w:rPr>
        <w:t xml:space="preserve">number </w:t>
      </w:r>
      <w:r w:rsidR="00C1717A" w:rsidRPr="00D615A9">
        <w:rPr>
          <w:color w:val="auto"/>
        </w:rPr>
        <w:t>as</w:t>
      </w:r>
      <w:r w:rsidR="00A25204" w:rsidRPr="00D615A9">
        <w:rPr>
          <w:color w:val="auto"/>
        </w:rPr>
        <w:t xml:space="preserve"> ‘don’t know’</w:t>
      </w:r>
      <w:r w:rsidR="005D2082" w:rsidRPr="00D615A9">
        <w:rPr>
          <w:color w:val="auto"/>
        </w:rPr>
        <w:t>.</w:t>
      </w:r>
      <w:r w:rsidR="00A25204" w:rsidRPr="00D615A9">
        <w:rPr>
          <w:color w:val="auto"/>
        </w:rPr>
        <w:t xml:space="preserve"> This helps us to understand gaps in the data, rather than where questions within the tool may have been accidentally missed.</w:t>
      </w:r>
    </w:p>
    <w:p w14:paraId="08230B2A" w14:textId="77777777" w:rsidR="001D4FFA" w:rsidRDefault="001D4FFA" w:rsidP="001D4FFA">
      <w:pPr>
        <w:rPr>
          <w:color w:val="auto"/>
        </w:rPr>
      </w:pPr>
    </w:p>
    <w:p w14:paraId="2D7B8D44" w14:textId="77777777" w:rsidR="000C682D" w:rsidRPr="00727F5E" w:rsidRDefault="000C682D" w:rsidP="000C682D">
      <w:pPr>
        <w:rPr>
          <w:b/>
          <w:bCs/>
          <w:color w:val="auto"/>
        </w:rPr>
      </w:pPr>
      <w:r w:rsidRPr="00727F5E">
        <w:rPr>
          <w:b/>
          <w:bCs/>
          <w:color w:val="auto"/>
        </w:rPr>
        <w:t>Column descriptions:</w:t>
      </w:r>
    </w:p>
    <w:p w14:paraId="77E73D78" w14:textId="77777777" w:rsidR="000C682D" w:rsidRDefault="000C682D" w:rsidP="000C682D">
      <w:pPr>
        <w:pStyle w:val="ListParagraph"/>
        <w:numPr>
          <w:ilvl w:val="0"/>
          <w:numId w:val="27"/>
        </w:numPr>
      </w:pPr>
      <w:r w:rsidRPr="003234A8">
        <w:rPr>
          <w:b/>
          <w:bCs/>
        </w:rPr>
        <w:t>Population by stock location</w:t>
      </w:r>
      <w:r>
        <w:rPr>
          <w:b/>
          <w:bCs/>
        </w:rPr>
        <w:t>:</w:t>
      </w:r>
      <w:r>
        <w:t xml:space="preserve"> calculates the proportion of the population (where your stock is located) that has that specific characteristic. This is calculated using the stock figures from the ‘Stock’ tab and population data, primarily from Census 2021 (see the Notes tab of the tool for more information).</w:t>
      </w:r>
    </w:p>
    <w:p w14:paraId="7D2E27A4" w14:textId="77777777" w:rsidR="000C682D" w:rsidRDefault="000C682D" w:rsidP="000C682D">
      <w:pPr>
        <w:pStyle w:val="ListParagraph"/>
        <w:numPr>
          <w:ilvl w:val="0"/>
          <w:numId w:val="27"/>
        </w:numPr>
      </w:pPr>
      <w:r w:rsidRPr="003234A8">
        <w:rPr>
          <w:b/>
          <w:bCs/>
        </w:rPr>
        <w:t>Workforce to population</w:t>
      </w:r>
      <w:r>
        <w:rPr>
          <w:b/>
          <w:bCs/>
        </w:rPr>
        <w:t>:</w:t>
      </w:r>
      <w:r>
        <w:t xml:space="preserve"> calculates the percentage point difference between the proportion of your workforce that has that characteristic and the proportion of the population. </w:t>
      </w:r>
    </w:p>
    <w:p w14:paraId="6EB3B2F0" w14:textId="77777777" w:rsidR="000C682D" w:rsidRDefault="000C682D" w:rsidP="000C682D">
      <w:pPr>
        <w:pStyle w:val="ListParagraph"/>
        <w:numPr>
          <w:ilvl w:val="0"/>
          <w:numId w:val="27"/>
        </w:numPr>
      </w:pPr>
      <w:r w:rsidRPr="003234A8">
        <w:rPr>
          <w:b/>
          <w:bCs/>
        </w:rPr>
        <w:t>Workforce to population (excl. prefer not to say and don't know)</w:t>
      </w:r>
      <w:r>
        <w:rPr>
          <w:b/>
          <w:bCs/>
        </w:rPr>
        <w:t xml:space="preserve">: </w:t>
      </w:r>
      <w:r>
        <w:t xml:space="preserve">calculates the same as above, but removes ‘Prefer not to say’ and ‘Don’t know’ data from this calculation to provide a more helpful comparison of the </w:t>
      </w:r>
      <w:r>
        <w:lastRenderedPageBreak/>
        <w:t>characteristics. This is particularly useful if we do not have a ‘don’t know’ category for the population data or if there is a large difference between the number of ‘don’t know’ responses in your workforce data compared to the population data.</w:t>
      </w:r>
    </w:p>
    <w:p w14:paraId="173A2A75" w14:textId="77777777" w:rsidR="000C682D" w:rsidRDefault="000C682D" w:rsidP="001D4FFA">
      <w:pPr>
        <w:rPr>
          <w:color w:val="auto"/>
        </w:rPr>
      </w:pPr>
    </w:p>
    <w:p w14:paraId="2759896E" w14:textId="1825623C" w:rsidR="001D4FFA" w:rsidRPr="00727F5E" w:rsidRDefault="006E3EEB" w:rsidP="001D4FFA">
      <w:pPr>
        <w:rPr>
          <w:b/>
          <w:bCs/>
          <w:color w:val="auto"/>
        </w:rPr>
      </w:pPr>
      <w:r w:rsidRPr="00727F5E">
        <w:rPr>
          <w:b/>
          <w:bCs/>
          <w:color w:val="auto"/>
        </w:rPr>
        <w:t xml:space="preserve">Interpreting </w:t>
      </w:r>
      <w:r w:rsidR="00D67276" w:rsidRPr="00727F5E">
        <w:rPr>
          <w:b/>
          <w:bCs/>
          <w:color w:val="auto"/>
        </w:rPr>
        <w:t>W</w:t>
      </w:r>
      <w:r w:rsidRPr="00727F5E">
        <w:rPr>
          <w:b/>
          <w:bCs/>
          <w:color w:val="auto"/>
        </w:rPr>
        <w:t xml:space="preserve">orkforce to population </w:t>
      </w:r>
      <w:r w:rsidR="00D67276" w:rsidRPr="00727F5E">
        <w:rPr>
          <w:b/>
          <w:bCs/>
          <w:color w:val="auto"/>
        </w:rPr>
        <w:t>figures</w:t>
      </w:r>
      <w:r w:rsidRPr="00727F5E">
        <w:rPr>
          <w:b/>
          <w:bCs/>
          <w:color w:val="auto"/>
        </w:rPr>
        <w:t>:</w:t>
      </w:r>
    </w:p>
    <w:p w14:paraId="0CD7A0F6" w14:textId="5541A6A5" w:rsidR="00BA6923" w:rsidRPr="00BA6923" w:rsidRDefault="00BA6923" w:rsidP="00BA6923">
      <w:pPr>
        <w:pStyle w:val="ListParagraph"/>
        <w:numPr>
          <w:ilvl w:val="0"/>
          <w:numId w:val="28"/>
        </w:numPr>
        <w:rPr>
          <w:color w:val="auto"/>
        </w:rPr>
      </w:pPr>
      <w:r w:rsidRPr="00BA6923">
        <w:rPr>
          <w:color w:val="auto"/>
        </w:rPr>
        <w:t xml:space="preserve">A negative number indicates that fewer members of your workforce have that characteristic compared to the population. And, vice versa, a positive number indicates that there are proportionally more people with that characteristic in your workforce compared to the population. </w:t>
      </w:r>
    </w:p>
    <w:p w14:paraId="4746C84C" w14:textId="4CAE537C" w:rsidR="00BA6923" w:rsidRPr="00BA6923" w:rsidRDefault="00BA6923" w:rsidP="00BA6923">
      <w:pPr>
        <w:pStyle w:val="ListParagraph"/>
        <w:numPr>
          <w:ilvl w:val="0"/>
          <w:numId w:val="28"/>
        </w:numPr>
        <w:rPr>
          <w:color w:val="auto"/>
        </w:rPr>
      </w:pPr>
      <w:r w:rsidRPr="00BA6923">
        <w:rPr>
          <w:color w:val="auto"/>
        </w:rPr>
        <w:t>The further away the number is from 0, the bigger the difference and, therefore, the less representative your workforce is of the population for that characteristic. The closer to 0 that number is, the more representative your workforce is of the population.</w:t>
      </w:r>
    </w:p>
    <w:p w14:paraId="4EFC9E9B" w14:textId="6885C0B4" w:rsidR="006E3EEB" w:rsidRPr="00BA6923" w:rsidRDefault="00BA6923" w:rsidP="00BA6923">
      <w:pPr>
        <w:pStyle w:val="ListParagraph"/>
        <w:numPr>
          <w:ilvl w:val="0"/>
          <w:numId w:val="28"/>
        </w:numPr>
        <w:rPr>
          <w:color w:val="auto"/>
        </w:rPr>
      </w:pPr>
      <w:r w:rsidRPr="00BA6923">
        <w:rPr>
          <w:color w:val="auto"/>
        </w:rPr>
        <w:t>Therefore, these figures are helpful in identifying where you may need to increase your representation of certain characteristics. Where there is the least representation, you could set targets to bring you closer to the characteristics of the population.</w:t>
      </w:r>
    </w:p>
    <w:p w14:paraId="700E9A45" w14:textId="77777777" w:rsidR="00BF6BBF" w:rsidRPr="00D615A9" w:rsidRDefault="00BF6BBF" w:rsidP="001D4FFA">
      <w:pPr>
        <w:rPr>
          <w:color w:val="auto"/>
        </w:rPr>
      </w:pPr>
    </w:p>
    <w:p w14:paraId="1B796DB8" w14:textId="6747826A" w:rsidR="0070785D" w:rsidRPr="00D615A9" w:rsidRDefault="00CB707A" w:rsidP="00D95BBD">
      <w:pPr>
        <w:pStyle w:val="NHFHeading2"/>
      </w:pPr>
      <w:r w:rsidRPr="00D615A9">
        <w:t>Executive to staff</w:t>
      </w:r>
    </w:p>
    <w:p w14:paraId="54DC6E97" w14:textId="77777777" w:rsidR="00A10C5A" w:rsidRDefault="00751311" w:rsidP="001C1B50">
      <w:pPr>
        <w:rPr>
          <w:color w:val="auto"/>
        </w:rPr>
      </w:pPr>
      <w:r>
        <w:rPr>
          <w:color w:val="auto"/>
        </w:rPr>
        <w:t>C</w:t>
      </w:r>
      <w:r w:rsidRPr="00751311">
        <w:rPr>
          <w:color w:val="auto"/>
        </w:rPr>
        <w:t>ompare the characteristics of your executives to your staff</w:t>
      </w:r>
      <w:r>
        <w:rPr>
          <w:color w:val="auto"/>
        </w:rPr>
        <w:t>.</w:t>
      </w:r>
      <w:r w:rsidR="001C1B50">
        <w:rPr>
          <w:color w:val="auto"/>
        </w:rPr>
        <w:t xml:space="preserve"> </w:t>
      </w:r>
    </w:p>
    <w:p w14:paraId="2AF0B407" w14:textId="77777777" w:rsidR="00A10C5A" w:rsidRDefault="00A10C5A" w:rsidP="001C1B50">
      <w:pPr>
        <w:rPr>
          <w:color w:val="auto"/>
        </w:rPr>
      </w:pPr>
    </w:p>
    <w:p w14:paraId="3589B628" w14:textId="1A57B561" w:rsidR="00A10C5A" w:rsidRPr="00CA1D5C" w:rsidRDefault="00A10C5A" w:rsidP="00A10C5A">
      <w:r>
        <w:t>E</w:t>
      </w:r>
      <w:r>
        <w:t>xecutives should include the executive</w:t>
      </w:r>
      <w:r w:rsidRPr="00EF318E">
        <w:t xml:space="preserve"> management team who take decisions for the organisation. They will likely hold responsibilities for setting the strategic direction and overseeing management of resources to ensure the organisational objectives are met.</w:t>
      </w:r>
      <w:r>
        <w:t xml:space="preserve"> </w:t>
      </w:r>
      <w:r>
        <w:t xml:space="preserve">We would expect this to include </w:t>
      </w:r>
      <w:r w:rsidRPr="00EF318E">
        <w:t>chief exec</w:t>
      </w:r>
      <w:r>
        <w:t>utives, managing directors</w:t>
      </w:r>
      <w:r w:rsidRPr="00EF318E">
        <w:t xml:space="preserve"> and </w:t>
      </w:r>
      <w:r>
        <w:t>senior leaders. H</w:t>
      </w:r>
      <w:r w:rsidRPr="00EF318E">
        <w:t>owever, the exact roles that are included may differ between organisations of different sizes and structures.</w:t>
      </w:r>
    </w:p>
    <w:p w14:paraId="1CF9C94D" w14:textId="77777777" w:rsidR="0036190B" w:rsidRDefault="0036190B" w:rsidP="001D4FFA">
      <w:pPr>
        <w:rPr>
          <w:color w:val="auto"/>
        </w:rPr>
      </w:pPr>
    </w:p>
    <w:p w14:paraId="43EF1734" w14:textId="77777777" w:rsidR="0036190B" w:rsidRPr="00727F5E" w:rsidRDefault="0036190B" w:rsidP="001D4FFA">
      <w:pPr>
        <w:rPr>
          <w:b/>
          <w:bCs/>
          <w:color w:val="auto"/>
        </w:rPr>
      </w:pPr>
      <w:r w:rsidRPr="00727F5E">
        <w:rPr>
          <w:b/>
          <w:bCs/>
          <w:color w:val="auto"/>
        </w:rPr>
        <w:t>Column descriptions:</w:t>
      </w:r>
    </w:p>
    <w:p w14:paraId="58605D89" w14:textId="0655E9A0" w:rsidR="00CC1CC9" w:rsidRDefault="0036190B" w:rsidP="0036190B">
      <w:pPr>
        <w:pStyle w:val="ListParagraph"/>
        <w:numPr>
          <w:ilvl w:val="0"/>
          <w:numId w:val="29"/>
        </w:numPr>
        <w:rPr>
          <w:color w:val="auto"/>
        </w:rPr>
      </w:pPr>
      <w:r w:rsidRPr="00CC1CC9">
        <w:rPr>
          <w:b/>
          <w:bCs/>
          <w:color w:val="auto"/>
        </w:rPr>
        <w:t xml:space="preserve">Staff </w:t>
      </w:r>
      <w:r w:rsidR="0055641A">
        <w:rPr>
          <w:b/>
          <w:bCs/>
          <w:color w:val="auto"/>
        </w:rPr>
        <w:t>N</w:t>
      </w:r>
      <w:r w:rsidRPr="00CC1CC9">
        <w:rPr>
          <w:b/>
          <w:bCs/>
          <w:color w:val="auto"/>
        </w:rPr>
        <w:t>umber and</w:t>
      </w:r>
      <w:r w:rsidR="007D4EBE">
        <w:rPr>
          <w:b/>
          <w:bCs/>
          <w:color w:val="auto"/>
        </w:rPr>
        <w:t xml:space="preserve"> Staff</w:t>
      </w:r>
      <w:r w:rsidRPr="00CC1CC9">
        <w:rPr>
          <w:b/>
          <w:bCs/>
          <w:color w:val="auto"/>
        </w:rPr>
        <w:t xml:space="preserve"> </w:t>
      </w:r>
      <w:r w:rsidR="00343E63">
        <w:rPr>
          <w:b/>
          <w:bCs/>
          <w:color w:val="auto"/>
        </w:rPr>
        <w:t>%</w:t>
      </w:r>
      <w:r w:rsidRPr="00CC1CC9">
        <w:rPr>
          <w:b/>
          <w:bCs/>
          <w:color w:val="auto"/>
        </w:rPr>
        <w:t>:</w:t>
      </w:r>
      <w:r>
        <w:rPr>
          <w:color w:val="auto"/>
        </w:rPr>
        <w:t xml:space="preserve"> These are calculated </w:t>
      </w:r>
      <w:proofErr w:type="spellStart"/>
      <w:r>
        <w:rPr>
          <w:color w:val="auto"/>
        </w:rPr>
        <w:t>automatively</w:t>
      </w:r>
      <w:proofErr w:type="spellEnd"/>
      <w:r>
        <w:rPr>
          <w:color w:val="auto"/>
        </w:rPr>
        <w:t xml:space="preserve"> </w:t>
      </w:r>
      <w:r w:rsidR="002A065C" w:rsidRPr="0036190B">
        <w:rPr>
          <w:color w:val="auto"/>
        </w:rPr>
        <w:t xml:space="preserve">from the </w:t>
      </w:r>
      <w:r w:rsidR="00CC1CC9">
        <w:rPr>
          <w:color w:val="auto"/>
        </w:rPr>
        <w:t>workforce numbers</w:t>
      </w:r>
      <w:r w:rsidR="002A065C" w:rsidRPr="0036190B">
        <w:rPr>
          <w:color w:val="auto"/>
        </w:rPr>
        <w:t xml:space="preserve"> you provided in ‘Workforce by cha</w:t>
      </w:r>
      <w:r w:rsidR="007140E8" w:rsidRPr="0036190B">
        <w:rPr>
          <w:color w:val="auto"/>
        </w:rPr>
        <w:t>ra</w:t>
      </w:r>
      <w:r w:rsidR="002A065C" w:rsidRPr="0036190B">
        <w:rPr>
          <w:color w:val="auto"/>
        </w:rPr>
        <w:t>cteristic’</w:t>
      </w:r>
      <w:r w:rsidR="00CC1CC9">
        <w:rPr>
          <w:color w:val="auto"/>
        </w:rPr>
        <w:t>, minus the executive numbers entered in this tab.</w:t>
      </w:r>
    </w:p>
    <w:p w14:paraId="6A05A809" w14:textId="7D57341B" w:rsidR="00FB0089" w:rsidRDefault="00343E63" w:rsidP="001861A4">
      <w:pPr>
        <w:pStyle w:val="ListParagraph"/>
        <w:numPr>
          <w:ilvl w:val="0"/>
          <w:numId w:val="29"/>
        </w:numPr>
        <w:rPr>
          <w:color w:val="auto"/>
        </w:rPr>
      </w:pPr>
      <w:r w:rsidRPr="00343E63">
        <w:rPr>
          <w:b/>
          <w:bCs/>
          <w:color w:val="auto"/>
        </w:rPr>
        <w:t>Executive to staff</w:t>
      </w:r>
      <w:r>
        <w:rPr>
          <w:color w:val="auto"/>
        </w:rPr>
        <w:t xml:space="preserve">: </w:t>
      </w:r>
      <w:r w:rsidR="001861A4" w:rsidRPr="001861A4">
        <w:rPr>
          <w:color w:val="auto"/>
        </w:rPr>
        <w:t xml:space="preserve">Similar to the workforce by characteristic tab, the “Executive to staff” column calculates the percentage point difference between the proportion of your executives with that characteristic and the proportion of your staff. “Executive to staff (excl. prefer not to say and don't know)” performs the same calculation but excluding ‘Prefer not to say’ and </w:t>
      </w:r>
      <w:r w:rsidR="001861A4" w:rsidRPr="001861A4">
        <w:rPr>
          <w:color w:val="auto"/>
        </w:rPr>
        <w:lastRenderedPageBreak/>
        <w:t>‘don’t know’ responses.</w:t>
      </w:r>
      <w:r w:rsidR="008F33A1">
        <w:rPr>
          <w:color w:val="auto"/>
        </w:rPr>
        <w:t xml:space="preserve"> These are interpreted in the same way as “Workforce to population” </w:t>
      </w:r>
      <w:r w:rsidR="00C62F02">
        <w:rPr>
          <w:color w:val="auto"/>
        </w:rPr>
        <w:t>figures, as explained in the previous section.</w:t>
      </w:r>
    </w:p>
    <w:p w14:paraId="310939EC" w14:textId="77777777" w:rsidR="00C60B41" w:rsidRDefault="00C60B41" w:rsidP="00C60B41">
      <w:pPr>
        <w:rPr>
          <w:color w:val="auto"/>
        </w:rPr>
      </w:pPr>
    </w:p>
    <w:p w14:paraId="7816B211" w14:textId="2AF340AD" w:rsidR="00C60B41" w:rsidRPr="00727F5E" w:rsidRDefault="00C60B41" w:rsidP="00C60B41">
      <w:pPr>
        <w:rPr>
          <w:b/>
          <w:bCs/>
          <w:color w:val="auto"/>
        </w:rPr>
      </w:pPr>
      <w:r w:rsidRPr="00727F5E">
        <w:rPr>
          <w:b/>
          <w:bCs/>
          <w:color w:val="auto"/>
        </w:rPr>
        <w:t xml:space="preserve">To complete the </w:t>
      </w:r>
      <w:r w:rsidR="008C2E83" w:rsidRPr="00727F5E">
        <w:rPr>
          <w:b/>
          <w:bCs/>
          <w:color w:val="auto"/>
        </w:rPr>
        <w:t xml:space="preserve">executive </w:t>
      </w:r>
      <w:r w:rsidRPr="00727F5E">
        <w:rPr>
          <w:b/>
          <w:bCs/>
          <w:color w:val="auto"/>
        </w:rPr>
        <w:t>tab:</w:t>
      </w:r>
    </w:p>
    <w:p w14:paraId="04611617" w14:textId="334DD9EA" w:rsidR="0056683A" w:rsidRPr="00D615A9" w:rsidRDefault="006E3B05" w:rsidP="001D4FFA">
      <w:pPr>
        <w:pStyle w:val="ListParagraph"/>
        <w:numPr>
          <w:ilvl w:val="0"/>
          <w:numId w:val="19"/>
        </w:numPr>
        <w:ind w:left="720"/>
        <w:rPr>
          <w:color w:val="auto"/>
        </w:rPr>
      </w:pPr>
      <w:r w:rsidRPr="00D615A9">
        <w:rPr>
          <w:color w:val="auto"/>
        </w:rPr>
        <w:t xml:space="preserve">Populate the highlighted cells with </w:t>
      </w:r>
      <w:r w:rsidRPr="00D615A9">
        <w:rPr>
          <w:color w:val="auto"/>
          <w:u w:val="single"/>
        </w:rPr>
        <w:t>the number of your executive staff</w:t>
      </w:r>
      <w:r w:rsidRPr="00D615A9">
        <w:rPr>
          <w:color w:val="auto"/>
        </w:rPr>
        <w:t xml:space="preserve"> who have each characteristic. By ‘executive’ we mean </w:t>
      </w:r>
      <w:r w:rsidR="00AD1A35" w:rsidRPr="00D615A9">
        <w:rPr>
          <w:color w:val="auto"/>
        </w:rPr>
        <w:t xml:space="preserve">your executive management team who take decisions for the organisation. </w:t>
      </w:r>
      <w:r w:rsidR="00BE1E67" w:rsidRPr="00D615A9">
        <w:rPr>
          <w:color w:val="auto"/>
        </w:rPr>
        <w:t xml:space="preserve">They will likely hold responsibilities for setting the strategic direction and overseeing management of resources to ensure the organisational objectives are met. </w:t>
      </w:r>
      <w:r w:rsidR="00AD1A35" w:rsidRPr="00D615A9">
        <w:rPr>
          <w:color w:val="auto"/>
        </w:rPr>
        <w:t>For most organisations, this is their chief exec and directors of services (or similar).</w:t>
      </w:r>
      <w:r w:rsidR="00B70DF4" w:rsidRPr="00D615A9">
        <w:rPr>
          <w:rStyle w:val="FootnoteReference"/>
          <w:color w:val="auto"/>
        </w:rPr>
        <w:footnoteReference w:id="2"/>
      </w:r>
    </w:p>
    <w:p w14:paraId="0439C232" w14:textId="23A01529" w:rsidR="00345521" w:rsidRPr="00D615A9" w:rsidRDefault="00345521" w:rsidP="001D4FFA">
      <w:pPr>
        <w:pStyle w:val="ListParagraph"/>
        <w:numPr>
          <w:ilvl w:val="0"/>
          <w:numId w:val="19"/>
        </w:numPr>
        <w:ind w:left="720"/>
        <w:rPr>
          <w:color w:val="auto"/>
        </w:rPr>
      </w:pPr>
      <w:r w:rsidRPr="00D615A9">
        <w:rPr>
          <w:color w:val="auto"/>
        </w:rPr>
        <w:t xml:space="preserve">Once you have populated these cells, the executive percentages and </w:t>
      </w:r>
      <w:r w:rsidR="00381263" w:rsidRPr="00D615A9">
        <w:rPr>
          <w:color w:val="auto"/>
        </w:rPr>
        <w:t>executive to staff comparison should calculate automatically.</w:t>
      </w:r>
    </w:p>
    <w:p w14:paraId="4E06DF83" w14:textId="56E73317" w:rsidR="00BC5BA0" w:rsidRPr="00D615A9" w:rsidRDefault="00BC5BA0" w:rsidP="001D4FFA">
      <w:pPr>
        <w:rPr>
          <w:color w:val="auto"/>
        </w:rPr>
      </w:pPr>
    </w:p>
    <w:p w14:paraId="7E9FEEFD" w14:textId="3EBE9356" w:rsidR="00BC5BA0" w:rsidRPr="00D615A9" w:rsidRDefault="00DE3F14" w:rsidP="00D95BBD">
      <w:pPr>
        <w:pStyle w:val="NHFHeading2"/>
      </w:pPr>
      <w:r w:rsidRPr="00D615A9">
        <w:t>Board to staff</w:t>
      </w:r>
    </w:p>
    <w:p w14:paraId="50185C18" w14:textId="62D716B2" w:rsidR="00DE3F14" w:rsidRDefault="00EC537F" w:rsidP="001D4FFA">
      <w:pPr>
        <w:rPr>
          <w:color w:val="auto"/>
        </w:rPr>
      </w:pPr>
      <w:r>
        <w:rPr>
          <w:color w:val="auto"/>
        </w:rPr>
        <w:t>C</w:t>
      </w:r>
      <w:r w:rsidRPr="00EC537F">
        <w:rPr>
          <w:color w:val="auto"/>
        </w:rPr>
        <w:t>ompare the characteristics of your board with the characteristics of your staff</w:t>
      </w:r>
      <w:r w:rsidR="008E72C8">
        <w:rPr>
          <w:color w:val="auto"/>
        </w:rPr>
        <w:t xml:space="preserve">. </w:t>
      </w:r>
      <w:r w:rsidR="008E72C8" w:rsidRPr="008E72C8">
        <w:t>We suggest including all board members who have voting rights. This includes any executive directors who sit on your board</w:t>
      </w:r>
      <w:r w:rsidR="008E72C8">
        <w:t>, meaning</w:t>
      </w:r>
      <w:r w:rsidR="008E72C8" w:rsidRPr="00C31986">
        <w:t xml:space="preserve"> that some people will be captured in the </w:t>
      </w:r>
      <w:r w:rsidR="008E72C8">
        <w:t>executive and board figures</w:t>
      </w:r>
      <w:r w:rsidR="008E72C8" w:rsidRPr="00C31986">
        <w:t>.</w:t>
      </w:r>
    </w:p>
    <w:p w14:paraId="331C1982" w14:textId="26487029" w:rsidR="00EC537F" w:rsidRDefault="00EC537F" w:rsidP="003A6C2F">
      <w:pPr>
        <w:rPr>
          <w:color w:val="auto"/>
        </w:rPr>
      </w:pPr>
    </w:p>
    <w:p w14:paraId="0B5F2851" w14:textId="4350C976" w:rsidR="00EC537F" w:rsidRPr="00727F5E" w:rsidRDefault="00F369A5" w:rsidP="001D4FFA">
      <w:pPr>
        <w:rPr>
          <w:b/>
          <w:bCs/>
          <w:color w:val="auto"/>
        </w:rPr>
      </w:pPr>
      <w:r w:rsidRPr="00727F5E">
        <w:rPr>
          <w:b/>
          <w:bCs/>
          <w:color w:val="auto"/>
        </w:rPr>
        <w:t>To complete the board tab:</w:t>
      </w:r>
    </w:p>
    <w:p w14:paraId="7EC89CFD" w14:textId="28FF1DB2" w:rsidR="00825C89" w:rsidRPr="00D615A9" w:rsidRDefault="005F5FA0" w:rsidP="001D4FFA">
      <w:pPr>
        <w:pStyle w:val="ListParagraph"/>
        <w:numPr>
          <w:ilvl w:val="0"/>
          <w:numId w:val="24"/>
        </w:numPr>
        <w:ind w:left="720"/>
        <w:rPr>
          <w:color w:val="auto"/>
        </w:rPr>
      </w:pPr>
      <w:r w:rsidRPr="00D615A9">
        <w:rPr>
          <w:color w:val="auto"/>
        </w:rPr>
        <w:t xml:space="preserve">Populate the highlighted cells with the </w:t>
      </w:r>
      <w:r w:rsidRPr="00D615A9">
        <w:rPr>
          <w:color w:val="auto"/>
          <w:u w:val="single"/>
        </w:rPr>
        <w:t>number of your board members</w:t>
      </w:r>
      <w:r w:rsidRPr="00D615A9">
        <w:rPr>
          <w:color w:val="auto"/>
        </w:rPr>
        <w:t xml:space="preserve"> with each characteristic</w:t>
      </w:r>
      <w:r w:rsidR="006203AE" w:rsidRPr="00D615A9">
        <w:rPr>
          <w:color w:val="auto"/>
        </w:rPr>
        <w:t>.</w:t>
      </w:r>
    </w:p>
    <w:p w14:paraId="7DF60C99" w14:textId="158CF712" w:rsidR="006203AE" w:rsidRDefault="006203AE" w:rsidP="001D4FFA">
      <w:pPr>
        <w:pStyle w:val="ListParagraph"/>
        <w:numPr>
          <w:ilvl w:val="0"/>
          <w:numId w:val="24"/>
        </w:numPr>
        <w:ind w:left="720"/>
        <w:rPr>
          <w:color w:val="auto"/>
        </w:rPr>
      </w:pPr>
      <w:r w:rsidRPr="00D615A9">
        <w:rPr>
          <w:color w:val="auto"/>
        </w:rPr>
        <w:t>Once you have populated these cells, the board percentages and board to staff comparison should calculate automatically.</w:t>
      </w:r>
    </w:p>
    <w:p w14:paraId="390508A1" w14:textId="77777777" w:rsidR="008E51B1" w:rsidRDefault="008E51B1" w:rsidP="008E51B1">
      <w:pPr>
        <w:rPr>
          <w:color w:val="auto"/>
        </w:rPr>
      </w:pPr>
    </w:p>
    <w:p w14:paraId="63705A49" w14:textId="77777777" w:rsidR="008E51B1" w:rsidRPr="00727F5E" w:rsidRDefault="008E51B1" w:rsidP="008E51B1">
      <w:pPr>
        <w:rPr>
          <w:b/>
          <w:bCs/>
          <w:color w:val="auto"/>
        </w:rPr>
      </w:pPr>
      <w:r w:rsidRPr="00727F5E">
        <w:rPr>
          <w:b/>
          <w:bCs/>
          <w:color w:val="auto"/>
        </w:rPr>
        <w:t>Column descriptions:</w:t>
      </w:r>
    </w:p>
    <w:p w14:paraId="68449396" w14:textId="77777777" w:rsidR="008E51B1" w:rsidRDefault="008E51B1" w:rsidP="008E51B1">
      <w:pPr>
        <w:pStyle w:val="ListParagraph"/>
        <w:numPr>
          <w:ilvl w:val="0"/>
          <w:numId w:val="29"/>
        </w:numPr>
        <w:rPr>
          <w:color w:val="auto"/>
        </w:rPr>
      </w:pPr>
      <w:r w:rsidRPr="00CC1CC9">
        <w:rPr>
          <w:b/>
          <w:bCs/>
          <w:color w:val="auto"/>
        </w:rPr>
        <w:t xml:space="preserve">Staff </w:t>
      </w:r>
      <w:r>
        <w:rPr>
          <w:b/>
          <w:bCs/>
          <w:color w:val="auto"/>
        </w:rPr>
        <w:t>N</w:t>
      </w:r>
      <w:r w:rsidRPr="00CC1CC9">
        <w:rPr>
          <w:b/>
          <w:bCs/>
          <w:color w:val="auto"/>
        </w:rPr>
        <w:t>umber and</w:t>
      </w:r>
      <w:r>
        <w:rPr>
          <w:b/>
          <w:bCs/>
          <w:color w:val="auto"/>
        </w:rPr>
        <w:t xml:space="preserve"> Staff</w:t>
      </w:r>
      <w:r w:rsidRPr="00CC1CC9">
        <w:rPr>
          <w:b/>
          <w:bCs/>
          <w:color w:val="auto"/>
        </w:rPr>
        <w:t xml:space="preserve"> </w:t>
      </w:r>
      <w:r>
        <w:rPr>
          <w:b/>
          <w:bCs/>
          <w:color w:val="auto"/>
        </w:rPr>
        <w:t>%</w:t>
      </w:r>
      <w:r w:rsidRPr="00CC1CC9">
        <w:rPr>
          <w:b/>
          <w:bCs/>
          <w:color w:val="auto"/>
        </w:rPr>
        <w:t>:</w:t>
      </w:r>
      <w:r>
        <w:rPr>
          <w:color w:val="auto"/>
        </w:rPr>
        <w:t xml:space="preserve"> Reflect the same figures in the Executive to staff tab.</w:t>
      </w:r>
    </w:p>
    <w:p w14:paraId="14F3AE3F" w14:textId="468908B7" w:rsidR="008E51B1" w:rsidRPr="008E51B1" w:rsidRDefault="008E51B1" w:rsidP="008E51B1">
      <w:pPr>
        <w:pStyle w:val="ListParagraph"/>
        <w:numPr>
          <w:ilvl w:val="0"/>
          <w:numId w:val="29"/>
        </w:numPr>
        <w:rPr>
          <w:color w:val="auto"/>
        </w:rPr>
      </w:pPr>
      <w:r>
        <w:rPr>
          <w:b/>
          <w:bCs/>
          <w:color w:val="auto"/>
        </w:rPr>
        <w:t>Board to staff:</w:t>
      </w:r>
      <w:r>
        <w:rPr>
          <w:color w:val="auto"/>
        </w:rPr>
        <w:t xml:space="preserve"> As with the Executive to staff tab, </w:t>
      </w:r>
      <w:r w:rsidRPr="001861A4">
        <w:rPr>
          <w:color w:val="auto"/>
        </w:rPr>
        <w:t xml:space="preserve">calculates the percentage point difference between the proportion of your </w:t>
      </w:r>
      <w:r>
        <w:rPr>
          <w:color w:val="auto"/>
        </w:rPr>
        <w:t>board</w:t>
      </w:r>
      <w:r w:rsidRPr="001861A4">
        <w:rPr>
          <w:color w:val="auto"/>
        </w:rPr>
        <w:t xml:space="preserve"> with that characteristic and the proportion of your staff.</w:t>
      </w:r>
      <w:r>
        <w:rPr>
          <w:color w:val="auto"/>
        </w:rPr>
        <w:t xml:space="preserve"> Interpreted in the same way as “Workforce to population” figures, as explained in that section of the guidance.</w:t>
      </w:r>
    </w:p>
    <w:p w14:paraId="7EF0FBBA" w14:textId="29EADF21" w:rsidR="006203AE" w:rsidRPr="00D615A9" w:rsidRDefault="006203AE" w:rsidP="001D4FFA">
      <w:pPr>
        <w:rPr>
          <w:color w:val="auto"/>
        </w:rPr>
      </w:pPr>
    </w:p>
    <w:p w14:paraId="327ECEE7" w14:textId="139BCF07" w:rsidR="006A56CB" w:rsidRPr="00D95BBD" w:rsidRDefault="006A56CB" w:rsidP="00D95BBD">
      <w:pPr>
        <w:pStyle w:val="NHFHeading2"/>
      </w:pPr>
      <w:r w:rsidRPr="00D95BBD">
        <w:t>Customer to workforce</w:t>
      </w:r>
    </w:p>
    <w:p w14:paraId="7C222CC9" w14:textId="12CBC26D" w:rsidR="007B5F10" w:rsidRDefault="007B5F10" w:rsidP="001D4FFA">
      <w:pPr>
        <w:rPr>
          <w:color w:val="auto"/>
        </w:rPr>
      </w:pPr>
      <w:r>
        <w:rPr>
          <w:color w:val="auto"/>
        </w:rPr>
        <w:t>C</w:t>
      </w:r>
      <w:r w:rsidR="008A3F7E" w:rsidRPr="008A3F7E">
        <w:rPr>
          <w:color w:val="auto"/>
        </w:rPr>
        <w:t>ompare the characteristics of your customers</w:t>
      </w:r>
      <w:r w:rsidR="001C1B50">
        <w:rPr>
          <w:rStyle w:val="FootnoteReference"/>
        </w:rPr>
        <w:footnoteReference w:id="3"/>
      </w:r>
      <w:r w:rsidR="001C1B50">
        <w:t xml:space="preserve"> </w:t>
      </w:r>
      <w:r w:rsidR="008A3F7E" w:rsidRPr="008A3F7E">
        <w:rPr>
          <w:color w:val="auto"/>
        </w:rPr>
        <w:t>with either the characteristics of your workforce or the characteristics of the population where your stock is located.</w:t>
      </w:r>
      <w:r>
        <w:rPr>
          <w:color w:val="auto"/>
        </w:rPr>
        <w:t xml:space="preserve"> </w:t>
      </w:r>
    </w:p>
    <w:p w14:paraId="632368A0" w14:textId="77777777" w:rsidR="007B5F10" w:rsidRDefault="007B5F10" w:rsidP="001D4FFA">
      <w:pPr>
        <w:rPr>
          <w:color w:val="auto"/>
        </w:rPr>
      </w:pPr>
    </w:p>
    <w:p w14:paraId="4B0409AD" w14:textId="75B721D0" w:rsidR="007B5F10" w:rsidRDefault="007B5F10" w:rsidP="001D4FFA">
      <w:pPr>
        <w:rPr>
          <w:color w:val="auto"/>
        </w:rPr>
      </w:pPr>
      <w:r w:rsidRPr="007B5F10">
        <w:rPr>
          <w:color w:val="auto"/>
        </w:rPr>
        <w:t xml:space="preserve">Comparing your customers to the population could be useful for identifying where the characteristics of your customers </w:t>
      </w:r>
      <w:r>
        <w:rPr>
          <w:color w:val="auto"/>
        </w:rPr>
        <w:t>vary to those of the</w:t>
      </w:r>
      <w:r w:rsidRPr="007B5F10">
        <w:rPr>
          <w:color w:val="auto"/>
        </w:rPr>
        <w:t xml:space="preserve"> population. If you identify that there are some differences, then you can use the tab to compare your workforce to the population to see where you may need to improve representation</w:t>
      </w:r>
      <w:r w:rsidR="00C152C3">
        <w:rPr>
          <w:color w:val="auto"/>
        </w:rPr>
        <w:t xml:space="preserve"> and inform target</w:t>
      </w:r>
      <w:r w:rsidR="000840D0">
        <w:rPr>
          <w:color w:val="auto"/>
        </w:rPr>
        <w:t>-setting</w:t>
      </w:r>
      <w:r w:rsidRPr="007B5F10">
        <w:rPr>
          <w:color w:val="auto"/>
        </w:rPr>
        <w:t>.</w:t>
      </w:r>
    </w:p>
    <w:p w14:paraId="504BFDCD" w14:textId="77777777" w:rsidR="007B5F10" w:rsidRDefault="007B5F10" w:rsidP="001D4FFA">
      <w:pPr>
        <w:rPr>
          <w:color w:val="auto"/>
        </w:rPr>
      </w:pPr>
    </w:p>
    <w:p w14:paraId="6DA43568" w14:textId="05152924" w:rsidR="008A3F7E" w:rsidRPr="00D95BBD" w:rsidRDefault="008A3F7E" w:rsidP="001D4FFA">
      <w:pPr>
        <w:rPr>
          <w:b/>
          <w:bCs/>
          <w:color w:val="auto"/>
        </w:rPr>
      </w:pPr>
      <w:r w:rsidRPr="00D95BBD">
        <w:rPr>
          <w:b/>
          <w:bCs/>
          <w:color w:val="auto"/>
        </w:rPr>
        <w:t xml:space="preserve">To </w:t>
      </w:r>
      <w:r w:rsidR="000840D0" w:rsidRPr="00D95BBD">
        <w:rPr>
          <w:b/>
          <w:bCs/>
          <w:color w:val="auto"/>
        </w:rPr>
        <w:t>complete the customer tab:</w:t>
      </w:r>
    </w:p>
    <w:p w14:paraId="2D0A464B" w14:textId="2534B3BA" w:rsidR="00C94D73" w:rsidRPr="008224F1" w:rsidRDefault="00C94D73" w:rsidP="008224F1">
      <w:pPr>
        <w:pStyle w:val="ListParagraph"/>
        <w:numPr>
          <w:ilvl w:val="0"/>
          <w:numId w:val="31"/>
        </w:numPr>
        <w:rPr>
          <w:color w:val="auto"/>
        </w:rPr>
      </w:pPr>
      <w:r w:rsidRPr="008224F1">
        <w:rPr>
          <w:color w:val="auto"/>
        </w:rPr>
        <w:t xml:space="preserve">In cell </w:t>
      </w:r>
      <w:r w:rsidR="00A51402" w:rsidRPr="008224F1">
        <w:rPr>
          <w:color w:val="auto"/>
        </w:rPr>
        <w:t>E</w:t>
      </w:r>
      <w:r w:rsidR="0083601F" w:rsidRPr="008224F1">
        <w:rPr>
          <w:color w:val="auto"/>
        </w:rPr>
        <w:t>2</w:t>
      </w:r>
      <w:r w:rsidRPr="008224F1">
        <w:rPr>
          <w:color w:val="auto"/>
        </w:rPr>
        <w:t>, select whether you would like to compare your customer characteristics with your workforce or with the wider population.</w:t>
      </w:r>
    </w:p>
    <w:p w14:paraId="64190D30" w14:textId="6C0651F4" w:rsidR="005B1B64" w:rsidRPr="008224F1" w:rsidRDefault="005B1B64" w:rsidP="008224F1">
      <w:pPr>
        <w:pStyle w:val="ListParagraph"/>
        <w:numPr>
          <w:ilvl w:val="0"/>
          <w:numId w:val="31"/>
        </w:numPr>
        <w:rPr>
          <w:color w:val="auto"/>
        </w:rPr>
      </w:pPr>
      <w:r w:rsidRPr="008224F1">
        <w:rPr>
          <w:color w:val="auto"/>
        </w:rPr>
        <w:t>Populate the highlighted</w:t>
      </w:r>
      <w:r w:rsidR="00DF7045" w:rsidRPr="008224F1">
        <w:rPr>
          <w:color w:val="auto"/>
        </w:rPr>
        <w:t xml:space="preserve"> cells with the </w:t>
      </w:r>
      <w:r w:rsidR="00DF7045" w:rsidRPr="008224F1">
        <w:rPr>
          <w:color w:val="auto"/>
          <w:u w:val="single"/>
        </w:rPr>
        <w:t>number of customers</w:t>
      </w:r>
      <w:r w:rsidR="00DF7045" w:rsidRPr="008224F1">
        <w:rPr>
          <w:color w:val="auto"/>
        </w:rPr>
        <w:t xml:space="preserve"> </w:t>
      </w:r>
      <w:r w:rsidR="00B83D88" w:rsidRPr="008224F1">
        <w:rPr>
          <w:color w:val="auto"/>
        </w:rPr>
        <w:t>with each characteristic.</w:t>
      </w:r>
    </w:p>
    <w:p w14:paraId="4982ECC2" w14:textId="5515E5BB" w:rsidR="00F34F50" w:rsidRPr="008224F1" w:rsidRDefault="00F34F50" w:rsidP="008224F1">
      <w:pPr>
        <w:pStyle w:val="ListParagraph"/>
        <w:numPr>
          <w:ilvl w:val="0"/>
          <w:numId w:val="31"/>
        </w:numPr>
        <w:rPr>
          <w:color w:val="auto"/>
        </w:rPr>
      </w:pPr>
      <w:r w:rsidRPr="008224F1">
        <w:rPr>
          <w:color w:val="auto"/>
        </w:rPr>
        <w:t>Once you have populated these cells, the customer percentages and workforce or population to customer percentages should calculate automatically.</w:t>
      </w:r>
    </w:p>
    <w:p w14:paraId="441B205C" w14:textId="3A319D9A" w:rsidR="0034443F" w:rsidRPr="008224F1" w:rsidRDefault="0034443F" w:rsidP="008224F1">
      <w:pPr>
        <w:pStyle w:val="ListParagraph"/>
        <w:numPr>
          <w:ilvl w:val="0"/>
          <w:numId w:val="31"/>
        </w:numPr>
        <w:rPr>
          <w:color w:val="auto"/>
        </w:rPr>
      </w:pPr>
      <w:r w:rsidRPr="008224F1">
        <w:rPr>
          <w:color w:val="auto"/>
        </w:rPr>
        <w:t>The totals for each question should match (and be equal to the total number of customers you serve).</w:t>
      </w:r>
    </w:p>
    <w:p w14:paraId="2725A2C7" w14:textId="77777777" w:rsidR="008E51B1" w:rsidRDefault="008E51B1" w:rsidP="008E51B1">
      <w:pPr>
        <w:rPr>
          <w:color w:val="auto"/>
        </w:rPr>
      </w:pPr>
    </w:p>
    <w:p w14:paraId="69E26F34" w14:textId="77777777" w:rsidR="008E51B1" w:rsidRPr="00D95BBD" w:rsidRDefault="008E51B1" w:rsidP="008E51B1">
      <w:pPr>
        <w:rPr>
          <w:b/>
          <w:bCs/>
          <w:color w:val="auto"/>
        </w:rPr>
      </w:pPr>
      <w:r w:rsidRPr="00D95BBD">
        <w:rPr>
          <w:b/>
          <w:bCs/>
          <w:color w:val="auto"/>
        </w:rPr>
        <w:t>Column descriptions:</w:t>
      </w:r>
    </w:p>
    <w:p w14:paraId="2ED0FF99" w14:textId="69447499" w:rsidR="008E51B1" w:rsidRDefault="008E51B1" w:rsidP="008E51B1">
      <w:pPr>
        <w:pStyle w:val="ListParagraph"/>
        <w:numPr>
          <w:ilvl w:val="0"/>
          <w:numId w:val="30"/>
        </w:numPr>
        <w:rPr>
          <w:color w:val="auto"/>
        </w:rPr>
      </w:pPr>
      <w:r w:rsidRPr="00D95BBD">
        <w:rPr>
          <w:b/>
          <w:bCs/>
          <w:color w:val="auto"/>
        </w:rPr>
        <w:t>Workforce Number:</w:t>
      </w:r>
      <w:r w:rsidRPr="008E51B1">
        <w:rPr>
          <w:color w:val="auto"/>
        </w:rPr>
        <w:t xml:space="preserve"> </w:t>
      </w:r>
      <w:r>
        <w:rPr>
          <w:color w:val="auto"/>
        </w:rPr>
        <w:t>reflects workforce numbers added to Workforce by characteristic tab.</w:t>
      </w:r>
    </w:p>
    <w:p w14:paraId="059BA24B" w14:textId="13E85FE7" w:rsidR="008E51B1" w:rsidRDefault="008E51B1" w:rsidP="008E51B1">
      <w:pPr>
        <w:pStyle w:val="ListParagraph"/>
        <w:numPr>
          <w:ilvl w:val="0"/>
          <w:numId w:val="30"/>
        </w:numPr>
        <w:rPr>
          <w:color w:val="auto"/>
        </w:rPr>
      </w:pPr>
      <w:r w:rsidRPr="00D95BBD">
        <w:rPr>
          <w:b/>
          <w:bCs/>
          <w:color w:val="auto"/>
        </w:rPr>
        <w:t xml:space="preserve">Workforce or population </w:t>
      </w:r>
      <w:r w:rsidR="00327617" w:rsidRPr="00D95BBD">
        <w:rPr>
          <w:b/>
          <w:bCs/>
          <w:color w:val="auto"/>
        </w:rPr>
        <w:t>%:</w:t>
      </w:r>
      <w:r w:rsidR="00327617">
        <w:rPr>
          <w:color w:val="auto"/>
        </w:rPr>
        <w:t xml:space="preserve"> </w:t>
      </w:r>
      <w:r w:rsidR="00755D26">
        <w:rPr>
          <w:color w:val="auto"/>
        </w:rPr>
        <w:t>either reflects workforce % or population % from Workforce by characteristic tab, depending on the selection made in cell E2.</w:t>
      </w:r>
      <w:r w:rsidR="00F81FE2">
        <w:rPr>
          <w:color w:val="auto"/>
        </w:rPr>
        <w:t xml:space="preserve"> </w:t>
      </w:r>
    </w:p>
    <w:p w14:paraId="22722956" w14:textId="23BF6F58" w:rsidR="00F81FE2" w:rsidRPr="008E51B1" w:rsidRDefault="004F08CE" w:rsidP="008E51B1">
      <w:pPr>
        <w:pStyle w:val="ListParagraph"/>
        <w:numPr>
          <w:ilvl w:val="0"/>
          <w:numId w:val="30"/>
        </w:numPr>
        <w:rPr>
          <w:color w:val="auto"/>
        </w:rPr>
      </w:pPr>
      <w:r w:rsidRPr="00D95BBD">
        <w:rPr>
          <w:b/>
          <w:bCs/>
          <w:color w:val="auto"/>
        </w:rPr>
        <w:t>Customer to workforce or population:</w:t>
      </w:r>
      <w:r>
        <w:rPr>
          <w:color w:val="auto"/>
        </w:rPr>
        <w:t xml:space="preserve"> The percentage point difference between the proportion of your customers with that characteristic and the proportion of either your workforce or the population where your stock is located, depending on the selection made in cell E2.</w:t>
      </w:r>
    </w:p>
    <w:p w14:paraId="32482D9D" w14:textId="160A9F0E" w:rsidR="00621CB5" w:rsidRPr="00D615A9" w:rsidRDefault="00621CB5" w:rsidP="00621CB5">
      <w:pPr>
        <w:rPr>
          <w:color w:val="auto"/>
        </w:rPr>
      </w:pPr>
    </w:p>
    <w:p w14:paraId="7550455B" w14:textId="4DF10A9C" w:rsidR="00813424" w:rsidRPr="00D615A9" w:rsidRDefault="00813424" w:rsidP="008E6C89">
      <w:pPr>
        <w:rPr>
          <w:color w:val="auto"/>
        </w:rPr>
      </w:pPr>
      <w:r w:rsidRPr="00D615A9">
        <w:rPr>
          <w:color w:val="auto"/>
        </w:rPr>
        <w:lastRenderedPageBreak/>
        <w:t xml:space="preserve">If you have any questions or feedback about the tool, please contact </w:t>
      </w:r>
      <w:r w:rsidRPr="00727F5E">
        <w:rPr>
          <w:b/>
          <w:bCs/>
          <w:color w:val="auto"/>
        </w:rPr>
        <w:t xml:space="preserve">Katie Hipkiss, Research Lead </w:t>
      </w:r>
      <w:r w:rsidR="00A3744F" w:rsidRPr="00727F5E">
        <w:rPr>
          <w:b/>
          <w:bCs/>
          <w:color w:val="auto"/>
        </w:rPr>
        <w:t xml:space="preserve">at </w:t>
      </w:r>
      <w:hyperlink r:id="rId12" w:history="1">
        <w:r w:rsidR="00A3744F" w:rsidRPr="00727F5E">
          <w:rPr>
            <w:rStyle w:val="Hyperlink"/>
            <w:b/>
            <w:bCs/>
            <w:color w:val="auto"/>
          </w:rPr>
          <w:t>research@housing.org.uk</w:t>
        </w:r>
      </w:hyperlink>
      <w:r w:rsidR="00A3744F" w:rsidRPr="00D615A9">
        <w:rPr>
          <w:color w:val="auto"/>
        </w:rPr>
        <w:t xml:space="preserve">. </w:t>
      </w:r>
    </w:p>
    <w:sectPr w:rsidR="00813424" w:rsidRPr="00D615A9" w:rsidSect="001676B8">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5B1B" w14:textId="77777777" w:rsidR="004562F4" w:rsidRDefault="004562F4" w:rsidP="003D664C">
      <w:r>
        <w:separator/>
      </w:r>
    </w:p>
    <w:p w14:paraId="30B92594" w14:textId="77777777" w:rsidR="004562F4" w:rsidRDefault="004562F4" w:rsidP="003D664C"/>
  </w:endnote>
  <w:endnote w:type="continuationSeparator" w:id="0">
    <w:p w14:paraId="33214BD0" w14:textId="77777777" w:rsidR="004562F4" w:rsidRDefault="004562F4" w:rsidP="003D664C">
      <w:r>
        <w:continuationSeparator/>
      </w:r>
    </w:p>
    <w:p w14:paraId="1F664740" w14:textId="77777777" w:rsidR="004562F4" w:rsidRDefault="004562F4" w:rsidP="003D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FF776FE"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5A39BBE3" w14:textId="77777777" w:rsidR="002C6F0F" w:rsidRDefault="002C6F0F" w:rsidP="002C6F0F">
    <w:pPr>
      <w:pStyle w:val="Footer"/>
      <w:ind w:firstLine="360"/>
    </w:pPr>
  </w:p>
  <w:p w14:paraId="41C8F396"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9315"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304053BE" wp14:editId="07777777">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2BC4FAD2"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338CEC32"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53DCDE8C"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02EDD99D" w14:textId="19F2BC7B"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BF3863">
          <w:rPr>
            <w:rStyle w:val="PageNumber"/>
            <w:noProof/>
            <w:color w:val="0060AF"/>
            <w:sz w:val="16"/>
          </w:rPr>
          <w:t>4</w:t>
        </w:r>
        <w:r w:rsidRPr="0059421B">
          <w:rPr>
            <w:rStyle w:val="PageNumber"/>
            <w:color w:val="0060AF"/>
            <w:sz w:val="16"/>
          </w:rPr>
          <w:fldChar w:fldCharType="end"/>
        </w:r>
      </w:p>
    </w:sdtContent>
  </w:sdt>
  <w:p w14:paraId="6D439F50" w14:textId="77777777" w:rsidR="002C6F0F" w:rsidRPr="0059421B" w:rsidRDefault="00F9396E" w:rsidP="00F9396E">
    <w:pPr>
      <w:pStyle w:val="Footer"/>
      <w:rPr>
        <w:sz w:val="16"/>
      </w:rPr>
    </w:pPr>
    <w:r w:rsidRPr="0059421B">
      <w:rPr>
        <w:sz w:val="16"/>
      </w:rPr>
      <w:t>Registered in England No. 302132</w:t>
    </w:r>
  </w:p>
  <w:p w14:paraId="45FB0818" w14:textId="77777777" w:rsidR="000E1F8E" w:rsidRDefault="000E1F8E" w:rsidP="00F9396E">
    <w:pPr>
      <w:pStyle w:val="Footer"/>
    </w:pPr>
  </w:p>
  <w:p w14:paraId="049F31CB"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D27E" w14:textId="77777777" w:rsidR="004562F4" w:rsidRDefault="004562F4" w:rsidP="003D664C">
      <w:r>
        <w:separator/>
      </w:r>
    </w:p>
    <w:p w14:paraId="063123BD" w14:textId="77777777" w:rsidR="004562F4" w:rsidRDefault="004562F4" w:rsidP="003D664C"/>
  </w:footnote>
  <w:footnote w:type="continuationSeparator" w:id="0">
    <w:p w14:paraId="4F2F060F" w14:textId="77777777" w:rsidR="004562F4" w:rsidRDefault="004562F4" w:rsidP="003D664C">
      <w:r>
        <w:continuationSeparator/>
      </w:r>
    </w:p>
    <w:p w14:paraId="5A085B11" w14:textId="77777777" w:rsidR="004562F4" w:rsidRDefault="004562F4" w:rsidP="003D664C"/>
  </w:footnote>
  <w:footnote w:id="1">
    <w:p w14:paraId="4462A98A" w14:textId="77777777" w:rsidR="007C6D5E" w:rsidRPr="00053CBF" w:rsidRDefault="007C6D5E" w:rsidP="007C6D5E">
      <w:pPr>
        <w:pStyle w:val="FootnoteText"/>
        <w:rPr>
          <w:lang w:val="en-US"/>
        </w:rPr>
      </w:pPr>
      <w:r>
        <w:rPr>
          <w:rStyle w:val="FootnoteReference"/>
        </w:rPr>
        <w:footnoteRef/>
      </w:r>
      <w:r>
        <w:t xml:space="preserve"> </w:t>
      </w:r>
      <w:r>
        <w:rPr>
          <w:lang w:val="en-US"/>
        </w:rPr>
        <w:t>We suggest correcting the stock data if there is more than a 5% difference between the stock data from the SDR and the data you hold about your stock.</w:t>
      </w:r>
    </w:p>
  </w:footnote>
  <w:footnote w:id="2">
    <w:p w14:paraId="0ECB5903" w14:textId="38E06542" w:rsidR="00E11F94" w:rsidRDefault="00B70DF4" w:rsidP="003839A5">
      <w:pPr>
        <w:pStyle w:val="FootnoteText"/>
      </w:pPr>
      <w:r>
        <w:rPr>
          <w:rStyle w:val="FootnoteReference"/>
        </w:rPr>
        <w:footnoteRef/>
      </w:r>
      <w:r>
        <w:t xml:space="preserve"> </w:t>
      </w:r>
      <w:r w:rsidR="003839A5">
        <w:t>The exact roles that are included may differ between organisations of different sizes and structures.</w:t>
      </w:r>
      <w:r w:rsidR="00E11F94">
        <w:t xml:space="preserve"> </w:t>
      </w:r>
    </w:p>
    <w:p w14:paraId="2835E798" w14:textId="2848E023" w:rsidR="00B70DF4" w:rsidRPr="00814DD7" w:rsidRDefault="003839A5" w:rsidP="003839A5">
      <w:pPr>
        <w:pStyle w:val="FootnoteText"/>
      </w:pPr>
      <w:r>
        <w:t>If it is not clear which roles make up your executive team, it may be helpful to consider how you will be using use the information held within the EDI tool to explore mobility upwards through your organisational structure and where it would be helpful to make a comparison between those below or above a specific level of seniority.</w:t>
      </w:r>
    </w:p>
  </w:footnote>
  <w:footnote w:id="3">
    <w:p w14:paraId="6C059367" w14:textId="77777777" w:rsidR="001C1B50" w:rsidRPr="00FF1CC5" w:rsidRDefault="001C1B50" w:rsidP="001C1B50">
      <w:pPr>
        <w:pStyle w:val="FootnoteText"/>
        <w:rPr>
          <w:lang w:val="en-US"/>
        </w:rPr>
      </w:pPr>
      <w:r>
        <w:rPr>
          <w:rStyle w:val="FootnoteReference"/>
        </w:rPr>
        <w:footnoteRef/>
      </w:r>
      <w:r>
        <w:t xml:space="preserve"> </w:t>
      </w:r>
      <w:r w:rsidRPr="00B96851">
        <w:t>There are several terms which can be used to refer to people who live in social housing, including “customers”, “tenants” and “residents”.</w:t>
      </w:r>
      <w:r>
        <w:t xml:space="preserve"> The EDI data tool uses the term “customers” in order to align with many reporting systems.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E667DA"/>
    <w:multiLevelType w:val="hybridMultilevel"/>
    <w:tmpl w:val="ED1E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4716"/>
    <w:multiLevelType w:val="hybridMultilevel"/>
    <w:tmpl w:val="A656D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D5410D0"/>
    <w:multiLevelType w:val="hybridMultilevel"/>
    <w:tmpl w:val="7B46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95C78"/>
    <w:multiLevelType w:val="hybridMultilevel"/>
    <w:tmpl w:val="66C8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D1896"/>
    <w:multiLevelType w:val="hybridMultilevel"/>
    <w:tmpl w:val="E3640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9A8054A"/>
    <w:multiLevelType w:val="hybridMultilevel"/>
    <w:tmpl w:val="53F8E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083EAD"/>
    <w:multiLevelType w:val="hybridMultilevel"/>
    <w:tmpl w:val="849C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A00E1"/>
    <w:multiLevelType w:val="hybridMultilevel"/>
    <w:tmpl w:val="F2BA6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87150A"/>
    <w:multiLevelType w:val="hybridMultilevel"/>
    <w:tmpl w:val="C3C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226FF"/>
    <w:multiLevelType w:val="hybridMultilevel"/>
    <w:tmpl w:val="99084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C825A5"/>
    <w:multiLevelType w:val="hybridMultilevel"/>
    <w:tmpl w:val="D15A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C749D"/>
    <w:multiLevelType w:val="hybridMultilevel"/>
    <w:tmpl w:val="237474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AB4757"/>
    <w:multiLevelType w:val="hybridMultilevel"/>
    <w:tmpl w:val="49FE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45956"/>
    <w:multiLevelType w:val="hybridMultilevel"/>
    <w:tmpl w:val="0B2AB6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77960B3B"/>
    <w:multiLevelType w:val="hybridMultilevel"/>
    <w:tmpl w:val="F8AC9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F80210A"/>
    <w:multiLevelType w:val="hybridMultilevel"/>
    <w:tmpl w:val="89D06A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598685026">
    <w:abstractNumId w:val="0"/>
  </w:num>
  <w:num w:numId="2" w16cid:durableId="726143744">
    <w:abstractNumId w:val="1"/>
  </w:num>
  <w:num w:numId="3" w16cid:durableId="600379023">
    <w:abstractNumId w:val="2"/>
  </w:num>
  <w:num w:numId="4" w16cid:durableId="1496529261">
    <w:abstractNumId w:val="3"/>
  </w:num>
  <w:num w:numId="5" w16cid:durableId="369301376">
    <w:abstractNumId w:val="8"/>
  </w:num>
  <w:num w:numId="6" w16cid:durableId="1869831627">
    <w:abstractNumId w:val="4"/>
  </w:num>
  <w:num w:numId="7" w16cid:durableId="1831753567">
    <w:abstractNumId w:val="5"/>
  </w:num>
  <w:num w:numId="8" w16cid:durableId="537203303">
    <w:abstractNumId w:val="6"/>
  </w:num>
  <w:num w:numId="9" w16cid:durableId="1140806152">
    <w:abstractNumId w:val="7"/>
  </w:num>
  <w:num w:numId="10" w16cid:durableId="2068919224">
    <w:abstractNumId w:val="9"/>
  </w:num>
  <w:num w:numId="11" w16cid:durableId="40595508">
    <w:abstractNumId w:val="26"/>
  </w:num>
  <w:num w:numId="12" w16cid:durableId="549462875">
    <w:abstractNumId w:val="22"/>
  </w:num>
  <w:num w:numId="13" w16cid:durableId="2026050966">
    <w:abstractNumId w:val="29"/>
  </w:num>
  <w:num w:numId="14" w16cid:durableId="2003461457">
    <w:abstractNumId w:val="10"/>
  </w:num>
  <w:num w:numId="15" w16cid:durableId="1788887205">
    <w:abstractNumId w:val="23"/>
  </w:num>
  <w:num w:numId="16" w16cid:durableId="1495489982">
    <w:abstractNumId w:val="20"/>
  </w:num>
  <w:num w:numId="17" w16cid:durableId="1579822037">
    <w:abstractNumId w:val="13"/>
  </w:num>
  <w:num w:numId="18" w16cid:durableId="1246495589">
    <w:abstractNumId w:val="15"/>
  </w:num>
  <w:num w:numId="19" w16cid:durableId="1364288602">
    <w:abstractNumId w:val="28"/>
  </w:num>
  <w:num w:numId="20" w16cid:durableId="1847285239">
    <w:abstractNumId w:val="24"/>
  </w:num>
  <w:num w:numId="21" w16cid:durableId="2099326949">
    <w:abstractNumId w:val="16"/>
  </w:num>
  <w:num w:numId="22" w16cid:durableId="1911042247">
    <w:abstractNumId w:val="12"/>
  </w:num>
  <w:num w:numId="23" w16cid:durableId="1202279505">
    <w:abstractNumId w:val="12"/>
  </w:num>
  <w:num w:numId="24" w16cid:durableId="1741053089">
    <w:abstractNumId w:val="18"/>
  </w:num>
  <w:num w:numId="25" w16cid:durableId="1401514802">
    <w:abstractNumId w:val="11"/>
  </w:num>
  <w:num w:numId="26" w16cid:durableId="1067268519">
    <w:abstractNumId w:val="30"/>
  </w:num>
  <w:num w:numId="27" w16cid:durableId="2065061497">
    <w:abstractNumId w:val="19"/>
  </w:num>
  <w:num w:numId="28" w16cid:durableId="951940246">
    <w:abstractNumId w:val="25"/>
  </w:num>
  <w:num w:numId="29" w16cid:durableId="988828012">
    <w:abstractNumId w:val="27"/>
  </w:num>
  <w:num w:numId="30" w16cid:durableId="1022435516">
    <w:abstractNumId w:val="14"/>
  </w:num>
  <w:num w:numId="31" w16cid:durableId="920603563">
    <w:abstractNumId w:val="17"/>
  </w:num>
  <w:num w:numId="32" w16cid:durableId="1868712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NDM2tTA0MzIGQiUdpeDU4uLM/DyQAsNaAPGmGl0sAAAA"/>
  </w:docVars>
  <w:rsids>
    <w:rsidRoot w:val="00EC09E8"/>
    <w:rsid w:val="00016F6C"/>
    <w:rsid w:val="00026143"/>
    <w:rsid w:val="000433AE"/>
    <w:rsid w:val="00053A07"/>
    <w:rsid w:val="00053CBF"/>
    <w:rsid w:val="00076B81"/>
    <w:rsid w:val="000840D0"/>
    <w:rsid w:val="00087CED"/>
    <w:rsid w:val="0009687F"/>
    <w:rsid w:val="000B5A08"/>
    <w:rsid w:val="000C36D4"/>
    <w:rsid w:val="000C682D"/>
    <w:rsid w:val="000E184E"/>
    <w:rsid w:val="000E1F8E"/>
    <w:rsid w:val="000F02BA"/>
    <w:rsid w:val="001009EE"/>
    <w:rsid w:val="0010626D"/>
    <w:rsid w:val="00125AA8"/>
    <w:rsid w:val="001413BF"/>
    <w:rsid w:val="001419D4"/>
    <w:rsid w:val="001457DE"/>
    <w:rsid w:val="001462A1"/>
    <w:rsid w:val="00155544"/>
    <w:rsid w:val="001649BF"/>
    <w:rsid w:val="001676B8"/>
    <w:rsid w:val="0016799F"/>
    <w:rsid w:val="001861A4"/>
    <w:rsid w:val="00187027"/>
    <w:rsid w:val="001B026C"/>
    <w:rsid w:val="001C1B50"/>
    <w:rsid w:val="001D4FFA"/>
    <w:rsid w:val="00220F02"/>
    <w:rsid w:val="00232F47"/>
    <w:rsid w:val="00241801"/>
    <w:rsid w:val="00243ADF"/>
    <w:rsid w:val="002460C3"/>
    <w:rsid w:val="002530D5"/>
    <w:rsid w:val="00261B9B"/>
    <w:rsid w:val="0026297A"/>
    <w:rsid w:val="00264FF6"/>
    <w:rsid w:val="00281A97"/>
    <w:rsid w:val="00283001"/>
    <w:rsid w:val="0028375A"/>
    <w:rsid w:val="00285BB5"/>
    <w:rsid w:val="002A065C"/>
    <w:rsid w:val="002A53B3"/>
    <w:rsid w:val="002A5F17"/>
    <w:rsid w:val="002A6684"/>
    <w:rsid w:val="002B1345"/>
    <w:rsid w:val="002B2D7A"/>
    <w:rsid w:val="002B6B09"/>
    <w:rsid w:val="002C2FC3"/>
    <w:rsid w:val="002C4E20"/>
    <w:rsid w:val="002C6F0F"/>
    <w:rsid w:val="002E0B75"/>
    <w:rsid w:val="002F4348"/>
    <w:rsid w:val="00326C33"/>
    <w:rsid w:val="00327617"/>
    <w:rsid w:val="0033154D"/>
    <w:rsid w:val="003365A1"/>
    <w:rsid w:val="00336E16"/>
    <w:rsid w:val="00343E63"/>
    <w:rsid w:val="0034443F"/>
    <w:rsid w:val="00345521"/>
    <w:rsid w:val="0034780B"/>
    <w:rsid w:val="00356BC0"/>
    <w:rsid w:val="0036190B"/>
    <w:rsid w:val="00380496"/>
    <w:rsid w:val="00381263"/>
    <w:rsid w:val="003839A5"/>
    <w:rsid w:val="003877BF"/>
    <w:rsid w:val="003A6C2F"/>
    <w:rsid w:val="003B064E"/>
    <w:rsid w:val="003D5482"/>
    <w:rsid w:val="003D664C"/>
    <w:rsid w:val="003E7340"/>
    <w:rsid w:val="003F0B62"/>
    <w:rsid w:val="003F1317"/>
    <w:rsid w:val="004114A6"/>
    <w:rsid w:val="00442996"/>
    <w:rsid w:val="00445252"/>
    <w:rsid w:val="00454166"/>
    <w:rsid w:val="004562F4"/>
    <w:rsid w:val="00465EE6"/>
    <w:rsid w:val="004700B3"/>
    <w:rsid w:val="004872CD"/>
    <w:rsid w:val="00491747"/>
    <w:rsid w:val="00493A2C"/>
    <w:rsid w:val="004A5EAB"/>
    <w:rsid w:val="004B1F71"/>
    <w:rsid w:val="004B4557"/>
    <w:rsid w:val="004D0F9A"/>
    <w:rsid w:val="004F08CE"/>
    <w:rsid w:val="00511487"/>
    <w:rsid w:val="0052217E"/>
    <w:rsid w:val="00531F19"/>
    <w:rsid w:val="0054501E"/>
    <w:rsid w:val="0054744C"/>
    <w:rsid w:val="00554886"/>
    <w:rsid w:val="0055641A"/>
    <w:rsid w:val="0056683A"/>
    <w:rsid w:val="0057421D"/>
    <w:rsid w:val="005860D9"/>
    <w:rsid w:val="0059421B"/>
    <w:rsid w:val="005A75B6"/>
    <w:rsid w:val="005A7E1F"/>
    <w:rsid w:val="005B1B64"/>
    <w:rsid w:val="005C5DBC"/>
    <w:rsid w:val="005D009F"/>
    <w:rsid w:val="005D2082"/>
    <w:rsid w:val="005E3BCD"/>
    <w:rsid w:val="005E48EC"/>
    <w:rsid w:val="005F2EF4"/>
    <w:rsid w:val="005F5FA0"/>
    <w:rsid w:val="00615503"/>
    <w:rsid w:val="006203AE"/>
    <w:rsid w:val="00621CB5"/>
    <w:rsid w:val="0062479F"/>
    <w:rsid w:val="0063109E"/>
    <w:rsid w:val="00632D41"/>
    <w:rsid w:val="0067323C"/>
    <w:rsid w:val="006A56CB"/>
    <w:rsid w:val="006A58D2"/>
    <w:rsid w:val="006A79F6"/>
    <w:rsid w:val="006C73CE"/>
    <w:rsid w:val="006E3B05"/>
    <w:rsid w:val="006E3EEB"/>
    <w:rsid w:val="006F05C7"/>
    <w:rsid w:val="006F2BBE"/>
    <w:rsid w:val="0070785D"/>
    <w:rsid w:val="007140E8"/>
    <w:rsid w:val="0072195F"/>
    <w:rsid w:val="00722637"/>
    <w:rsid w:val="00727F5E"/>
    <w:rsid w:val="00751311"/>
    <w:rsid w:val="007552DF"/>
    <w:rsid w:val="00755D26"/>
    <w:rsid w:val="0075702B"/>
    <w:rsid w:val="00757AA9"/>
    <w:rsid w:val="00770958"/>
    <w:rsid w:val="00776962"/>
    <w:rsid w:val="007A4F41"/>
    <w:rsid w:val="007A7498"/>
    <w:rsid w:val="007B5F10"/>
    <w:rsid w:val="007C209D"/>
    <w:rsid w:val="007C6D5E"/>
    <w:rsid w:val="007C7FC5"/>
    <w:rsid w:val="007D4EBE"/>
    <w:rsid w:val="007D7532"/>
    <w:rsid w:val="007E3808"/>
    <w:rsid w:val="007F1C55"/>
    <w:rsid w:val="008041E5"/>
    <w:rsid w:val="00813424"/>
    <w:rsid w:val="00814CB8"/>
    <w:rsid w:val="00814DD7"/>
    <w:rsid w:val="00817F6E"/>
    <w:rsid w:val="008224F1"/>
    <w:rsid w:val="00825C89"/>
    <w:rsid w:val="00827DF1"/>
    <w:rsid w:val="0083601F"/>
    <w:rsid w:val="0083768C"/>
    <w:rsid w:val="008404E9"/>
    <w:rsid w:val="00845BCC"/>
    <w:rsid w:val="00847D92"/>
    <w:rsid w:val="008619ED"/>
    <w:rsid w:val="008A3F7E"/>
    <w:rsid w:val="008B05F0"/>
    <w:rsid w:val="008B4720"/>
    <w:rsid w:val="008B7064"/>
    <w:rsid w:val="008C2E83"/>
    <w:rsid w:val="008D7C20"/>
    <w:rsid w:val="008E439D"/>
    <w:rsid w:val="008E51B1"/>
    <w:rsid w:val="008E6C89"/>
    <w:rsid w:val="008E72C8"/>
    <w:rsid w:val="008F33A1"/>
    <w:rsid w:val="008F5251"/>
    <w:rsid w:val="008F611C"/>
    <w:rsid w:val="00906327"/>
    <w:rsid w:val="00921DBC"/>
    <w:rsid w:val="00923C45"/>
    <w:rsid w:val="00962494"/>
    <w:rsid w:val="00986FE9"/>
    <w:rsid w:val="0099718F"/>
    <w:rsid w:val="009A6F1B"/>
    <w:rsid w:val="009C6DFF"/>
    <w:rsid w:val="009D57A7"/>
    <w:rsid w:val="009D66F4"/>
    <w:rsid w:val="009E1EED"/>
    <w:rsid w:val="00A011CC"/>
    <w:rsid w:val="00A1087D"/>
    <w:rsid w:val="00A10C5A"/>
    <w:rsid w:val="00A143F3"/>
    <w:rsid w:val="00A25204"/>
    <w:rsid w:val="00A3423D"/>
    <w:rsid w:val="00A3744F"/>
    <w:rsid w:val="00A4141E"/>
    <w:rsid w:val="00A51402"/>
    <w:rsid w:val="00A55228"/>
    <w:rsid w:val="00A93EA6"/>
    <w:rsid w:val="00AB3AC6"/>
    <w:rsid w:val="00AC598E"/>
    <w:rsid w:val="00AD1A35"/>
    <w:rsid w:val="00AE0021"/>
    <w:rsid w:val="00AF2246"/>
    <w:rsid w:val="00AF32D7"/>
    <w:rsid w:val="00B31CAE"/>
    <w:rsid w:val="00B61088"/>
    <w:rsid w:val="00B66C87"/>
    <w:rsid w:val="00B70DF4"/>
    <w:rsid w:val="00B803EE"/>
    <w:rsid w:val="00B83D88"/>
    <w:rsid w:val="00B93318"/>
    <w:rsid w:val="00BA641F"/>
    <w:rsid w:val="00BA6923"/>
    <w:rsid w:val="00BB6F79"/>
    <w:rsid w:val="00BC5BA0"/>
    <w:rsid w:val="00BD3F62"/>
    <w:rsid w:val="00BE1E67"/>
    <w:rsid w:val="00BF3863"/>
    <w:rsid w:val="00BF6BBF"/>
    <w:rsid w:val="00C02E8D"/>
    <w:rsid w:val="00C03329"/>
    <w:rsid w:val="00C03703"/>
    <w:rsid w:val="00C07818"/>
    <w:rsid w:val="00C152C3"/>
    <w:rsid w:val="00C15F48"/>
    <w:rsid w:val="00C1717A"/>
    <w:rsid w:val="00C22A74"/>
    <w:rsid w:val="00C24263"/>
    <w:rsid w:val="00C33C05"/>
    <w:rsid w:val="00C37CFD"/>
    <w:rsid w:val="00C60B41"/>
    <w:rsid w:val="00C62F02"/>
    <w:rsid w:val="00C8733C"/>
    <w:rsid w:val="00C93E9C"/>
    <w:rsid w:val="00C94D73"/>
    <w:rsid w:val="00CB51E8"/>
    <w:rsid w:val="00CB707A"/>
    <w:rsid w:val="00CC1CC9"/>
    <w:rsid w:val="00CE4AB8"/>
    <w:rsid w:val="00CF41E9"/>
    <w:rsid w:val="00CF6A8A"/>
    <w:rsid w:val="00CF7221"/>
    <w:rsid w:val="00D10970"/>
    <w:rsid w:val="00D2197C"/>
    <w:rsid w:val="00D27B3E"/>
    <w:rsid w:val="00D34D68"/>
    <w:rsid w:val="00D36057"/>
    <w:rsid w:val="00D4446F"/>
    <w:rsid w:val="00D615A9"/>
    <w:rsid w:val="00D67276"/>
    <w:rsid w:val="00D67B48"/>
    <w:rsid w:val="00D72DE6"/>
    <w:rsid w:val="00D76D0E"/>
    <w:rsid w:val="00D9138D"/>
    <w:rsid w:val="00D95BBD"/>
    <w:rsid w:val="00DA4645"/>
    <w:rsid w:val="00DA6679"/>
    <w:rsid w:val="00DB1417"/>
    <w:rsid w:val="00DB4CE4"/>
    <w:rsid w:val="00DD0536"/>
    <w:rsid w:val="00DD2DF5"/>
    <w:rsid w:val="00DD31A4"/>
    <w:rsid w:val="00DE1BE6"/>
    <w:rsid w:val="00DE1C01"/>
    <w:rsid w:val="00DE3F14"/>
    <w:rsid w:val="00DF39A8"/>
    <w:rsid w:val="00DF7045"/>
    <w:rsid w:val="00E07499"/>
    <w:rsid w:val="00E11F94"/>
    <w:rsid w:val="00E21898"/>
    <w:rsid w:val="00E272D3"/>
    <w:rsid w:val="00E51FB0"/>
    <w:rsid w:val="00E66BC3"/>
    <w:rsid w:val="00E740A7"/>
    <w:rsid w:val="00E74A1B"/>
    <w:rsid w:val="00E8557D"/>
    <w:rsid w:val="00E91891"/>
    <w:rsid w:val="00E921F9"/>
    <w:rsid w:val="00EC09E8"/>
    <w:rsid w:val="00EC537F"/>
    <w:rsid w:val="00EE61B2"/>
    <w:rsid w:val="00F02F1D"/>
    <w:rsid w:val="00F171D1"/>
    <w:rsid w:val="00F23753"/>
    <w:rsid w:val="00F27902"/>
    <w:rsid w:val="00F34F50"/>
    <w:rsid w:val="00F369A5"/>
    <w:rsid w:val="00F5187A"/>
    <w:rsid w:val="00F526E4"/>
    <w:rsid w:val="00F53999"/>
    <w:rsid w:val="00F603F5"/>
    <w:rsid w:val="00F76C74"/>
    <w:rsid w:val="00F7727A"/>
    <w:rsid w:val="00F81FE2"/>
    <w:rsid w:val="00F837F5"/>
    <w:rsid w:val="00F9396E"/>
    <w:rsid w:val="00FB0089"/>
    <w:rsid w:val="00FC2CA0"/>
    <w:rsid w:val="00FD21EF"/>
    <w:rsid w:val="00FF26F1"/>
    <w:rsid w:val="00FF4A7D"/>
    <w:rsid w:val="06B62C99"/>
    <w:rsid w:val="3D8F6CCC"/>
    <w:rsid w:val="530FB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D6E7"/>
  <w15:chartTrackingRefBased/>
  <w15:docId w15:val="{12CDAD27-47A9-4115-BA6D-F8354EE3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554886"/>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B61088"/>
    <w:pPr>
      <w:spacing w:after="120"/>
    </w:pPr>
    <w:rPr>
      <w:rFonts w:ascii="Georgia" w:eastAsiaTheme="majorEastAsia" w:hAnsi="Georgia" w:cstheme="majorBidi"/>
      <w:b/>
      <w:color w:val="0060AF"/>
      <w:spacing w:val="-10"/>
      <w:kern w:val="28"/>
      <w:sz w:val="52"/>
      <w:szCs w:val="52"/>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qFormat/>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2494"/>
    <w:rPr>
      <w:color w:val="605E5C"/>
      <w:shd w:val="clear" w:color="auto" w:fill="E1DFDD"/>
    </w:rPr>
  </w:style>
  <w:style w:type="paragraph" w:styleId="TOCHeading">
    <w:name w:val="TOC Heading"/>
    <w:basedOn w:val="Heading1"/>
    <w:next w:val="Normal"/>
    <w:uiPriority w:val="39"/>
    <w:unhideWhenUsed/>
    <w:qFormat/>
    <w:rsid w:val="00DA6679"/>
    <w:pPr>
      <w:spacing w:line="259" w:lineRule="auto"/>
      <w:outlineLvl w:val="9"/>
    </w:pPr>
    <w:rPr>
      <w:lang w:val="en-US"/>
    </w:rPr>
  </w:style>
  <w:style w:type="paragraph" w:styleId="TOC2">
    <w:name w:val="toc 2"/>
    <w:basedOn w:val="Normal"/>
    <w:next w:val="Normal"/>
    <w:autoRedefine/>
    <w:uiPriority w:val="39"/>
    <w:unhideWhenUsed/>
    <w:rsid w:val="00DA6679"/>
    <w:pPr>
      <w:spacing w:after="100"/>
      <w:ind w:left="240"/>
    </w:pPr>
  </w:style>
  <w:style w:type="paragraph" w:styleId="TOC1">
    <w:name w:val="toc 1"/>
    <w:basedOn w:val="Normal"/>
    <w:next w:val="Normal"/>
    <w:autoRedefine/>
    <w:uiPriority w:val="39"/>
    <w:unhideWhenUsed/>
    <w:rsid w:val="00DA6679"/>
    <w:pPr>
      <w:spacing w:after="100"/>
    </w:pPr>
  </w:style>
  <w:style w:type="paragraph" w:styleId="TOC3">
    <w:name w:val="toc 3"/>
    <w:basedOn w:val="Normal"/>
    <w:next w:val="Normal"/>
    <w:autoRedefine/>
    <w:uiPriority w:val="39"/>
    <w:unhideWhenUsed/>
    <w:rsid w:val="00DA6679"/>
    <w:pPr>
      <w:spacing w:after="100"/>
      <w:ind w:left="480"/>
    </w:pPr>
  </w:style>
  <w:style w:type="paragraph" w:styleId="FootnoteText">
    <w:name w:val="footnote text"/>
    <w:basedOn w:val="Normal"/>
    <w:link w:val="FootnoteTextChar"/>
    <w:uiPriority w:val="99"/>
    <w:semiHidden/>
    <w:unhideWhenUsed/>
    <w:rsid w:val="00053CBF"/>
    <w:pPr>
      <w:spacing w:line="240" w:lineRule="auto"/>
    </w:pPr>
    <w:rPr>
      <w:sz w:val="20"/>
      <w:szCs w:val="20"/>
    </w:rPr>
  </w:style>
  <w:style w:type="character" w:customStyle="1" w:styleId="FootnoteTextChar">
    <w:name w:val="Footnote Text Char"/>
    <w:basedOn w:val="DefaultParagraphFont"/>
    <w:link w:val="FootnoteText"/>
    <w:uiPriority w:val="99"/>
    <w:semiHidden/>
    <w:rsid w:val="00053CBF"/>
    <w:rPr>
      <w:rFonts w:ascii="Arial" w:hAnsi="Arial"/>
      <w:color w:val="2F2F2D"/>
      <w:sz w:val="20"/>
      <w:szCs w:val="20"/>
    </w:rPr>
  </w:style>
  <w:style w:type="character" w:styleId="FootnoteReference">
    <w:name w:val="footnote reference"/>
    <w:basedOn w:val="DefaultParagraphFont"/>
    <w:uiPriority w:val="99"/>
    <w:semiHidden/>
    <w:unhideWhenUsed/>
    <w:rsid w:val="00053CBF"/>
    <w:rPr>
      <w:vertAlign w:val="superscript"/>
    </w:rPr>
  </w:style>
  <w:style w:type="character" w:styleId="CommentReference">
    <w:name w:val="annotation reference"/>
    <w:basedOn w:val="DefaultParagraphFont"/>
    <w:uiPriority w:val="99"/>
    <w:semiHidden/>
    <w:unhideWhenUsed/>
    <w:rsid w:val="00B66C87"/>
    <w:rPr>
      <w:sz w:val="16"/>
      <w:szCs w:val="16"/>
    </w:rPr>
  </w:style>
  <w:style w:type="paragraph" w:styleId="CommentText">
    <w:name w:val="annotation text"/>
    <w:basedOn w:val="Normal"/>
    <w:link w:val="CommentTextChar"/>
    <w:uiPriority w:val="99"/>
    <w:unhideWhenUsed/>
    <w:rsid w:val="00B66C87"/>
    <w:pPr>
      <w:spacing w:line="240" w:lineRule="auto"/>
    </w:pPr>
    <w:rPr>
      <w:sz w:val="20"/>
      <w:szCs w:val="20"/>
    </w:rPr>
  </w:style>
  <w:style w:type="character" w:customStyle="1" w:styleId="CommentTextChar">
    <w:name w:val="Comment Text Char"/>
    <w:basedOn w:val="DefaultParagraphFont"/>
    <w:link w:val="CommentText"/>
    <w:uiPriority w:val="99"/>
    <w:rsid w:val="00B66C87"/>
    <w:rPr>
      <w:rFonts w:ascii="Arial" w:hAnsi="Arial"/>
      <w:color w:val="2F2F2D"/>
      <w:sz w:val="20"/>
      <w:szCs w:val="20"/>
    </w:rPr>
  </w:style>
  <w:style w:type="paragraph" w:styleId="CommentSubject">
    <w:name w:val="annotation subject"/>
    <w:basedOn w:val="CommentText"/>
    <w:next w:val="CommentText"/>
    <w:link w:val="CommentSubjectChar"/>
    <w:uiPriority w:val="99"/>
    <w:semiHidden/>
    <w:unhideWhenUsed/>
    <w:rsid w:val="00B66C87"/>
    <w:rPr>
      <w:b/>
      <w:bCs/>
    </w:rPr>
  </w:style>
  <w:style w:type="character" w:customStyle="1" w:styleId="CommentSubjectChar">
    <w:name w:val="Comment Subject Char"/>
    <w:basedOn w:val="CommentTextChar"/>
    <w:link w:val="CommentSubject"/>
    <w:uiPriority w:val="99"/>
    <w:semiHidden/>
    <w:rsid w:val="00B66C87"/>
    <w:rPr>
      <w:rFonts w:ascii="Arial" w:hAnsi="Arial"/>
      <w:b/>
      <w:bCs/>
      <w:color w:val="2F2F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261">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10278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housing.org.uk?subject=EDI%20Data%20T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org.uk/our-work/diversity-and-equality/EDI-t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f76410-72d5-4e65-b511-f14ddb2aabfc" xsi:nil="true"/>
    <lcf76f155ced4ddcb4097134ff3c332f xmlns="d350199d-d8a9-4bba-92e7-72b6710492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DD5F70252CB74EACE3E9603A20E8A2" ma:contentTypeVersion="17" ma:contentTypeDescription="Create a new document." ma:contentTypeScope="" ma:versionID="9bdfb69c8004513bc3c5a370dbf42d73">
  <xsd:schema xmlns:xsd="http://www.w3.org/2001/XMLSchema" xmlns:xs="http://www.w3.org/2001/XMLSchema" xmlns:p="http://schemas.microsoft.com/office/2006/metadata/properties" xmlns:ns2="d350199d-d8a9-4bba-92e7-72b67104924d" xmlns:ns3="5cf76410-72d5-4e65-b511-f14ddb2aabfc" targetNamespace="http://schemas.microsoft.com/office/2006/metadata/properties" ma:root="true" ma:fieldsID="5192ec20b3dfffcf5839f63385ca3651" ns2:_="" ns3:_="">
    <xsd:import namespace="d350199d-d8a9-4bba-92e7-72b67104924d"/>
    <xsd:import namespace="5cf76410-72d5-4e65-b511-f14ddb2aa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199d-d8a9-4bba-92e7-72b67104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76410-72d5-4e65-b511-f14ddb2aa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f179aa-9402-4575-b01b-19b060cd8bf7}" ma:internalName="TaxCatchAll" ma:showField="CatchAllData" ma:web="5cf76410-72d5-4e65-b511-f14ddb2aa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8ABA0-3DAF-458E-84EC-906DF54812F1}">
  <ds:schemaRefs>
    <ds:schemaRef ds:uri="http://schemas.microsoft.com/office/2006/metadata/properties"/>
    <ds:schemaRef ds:uri="http://schemas.microsoft.com/office/infopath/2007/PartnerControls"/>
    <ds:schemaRef ds:uri="5cf76410-72d5-4e65-b511-f14ddb2aabfc"/>
    <ds:schemaRef ds:uri="d350199d-d8a9-4bba-92e7-72b67104924d"/>
  </ds:schemaRefs>
</ds:datastoreItem>
</file>

<file path=customXml/itemProps2.xml><?xml version="1.0" encoding="utf-8"?>
<ds:datastoreItem xmlns:ds="http://schemas.openxmlformats.org/officeDocument/2006/customXml" ds:itemID="{BB08A6CA-8219-4778-8B38-CD46F26822B1}">
  <ds:schemaRefs>
    <ds:schemaRef ds:uri="http://schemas.openxmlformats.org/officeDocument/2006/bibliography"/>
  </ds:schemaRefs>
</ds:datastoreItem>
</file>

<file path=customXml/itemProps3.xml><?xml version="1.0" encoding="utf-8"?>
<ds:datastoreItem xmlns:ds="http://schemas.openxmlformats.org/officeDocument/2006/customXml" ds:itemID="{1C706C8F-E9DE-4613-B2C1-794908C3D1E2}">
  <ds:schemaRefs>
    <ds:schemaRef ds:uri="http://schemas.microsoft.com/sharepoint/v3/contenttype/forms"/>
  </ds:schemaRefs>
</ds:datastoreItem>
</file>

<file path=customXml/itemProps4.xml><?xml version="1.0" encoding="utf-8"?>
<ds:datastoreItem xmlns:ds="http://schemas.openxmlformats.org/officeDocument/2006/customXml" ds:itemID="{BFD020A2-35EE-47C2-AAE9-CC82266A8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0199d-d8a9-4bba-92e7-72b67104924d"/>
    <ds:schemaRef ds:uri="5cf76410-72d5-4e65-b511-f14ddb2a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Bekah Ryder</dc:creator>
  <cp:keywords/>
  <dc:description/>
  <cp:lastModifiedBy>Katie Hipkiss</cp:lastModifiedBy>
  <cp:revision>65</cp:revision>
  <dcterms:created xsi:type="dcterms:W3CDTF">2023-09-04T14:01:00Z</dcterms:created>
  <dcterms:modified xsi:type="dcterms:W3CDTF">2023-09-05T08:11:00Z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0x0101005CDD5F70252CB74EACE3E9603A20E8A2</vt:lpwstr>
  </property>
  <property fmtid="{D5CDD505-2E9C-101B-9397-08002B2CF9AE}" pid="3" name="Order">
    <vt:r8>1483000</vt:r8>
  </property>
  <property fmtid="{D5CDD505-2E9C-101B-9397-08002B2CF9AE}" pid="4" name="MediaServiceImageTags">
    <vt:lpwstr/>
  </property>
</Properties>
</file>